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</w:t>
      </w:r>
    </w:p>
    <w:p>
      <w:pPr>
        <w:pStyle w:val="Author"/>
      </w:pPr>
      <w:r>
        <w:t xml:space="preserve">victor</w:t>
      </w:r>
    </w:p>
    <w:p>
      <w:pPr>
        <w:pStyle w:val="Date"/>
      </w:pPr>
      <w:r>
        <w:t xml:space="preserve">2024-07-19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rPr>
          <w:rStyle w:val="CommentTok"/>
        </w:rPr>
        <w:t xml:space="preserve"># mdelos ARIMA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 </w:t>
      </w:r>
      <w:r>
        <w:rPr>
          <w:rStyle w:val="CommentTok"/>
        </w:rPr>
        <w:t xml:space="preserve"># series de tiempo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(TSA)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    </w:t>
      </w:r>
      <w:r>
        <w:rPr>
          <w:rStyle w:val="CommentTok"/>
        </w:rPr>
        <w:t xml:space="preserve"># prueba de raises unitarias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graficos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</w:t>
      </w:r>
      <w:r>
        <w:rPr>
          <w:rStyle w:val="CommentTok"/>
        </w:rPr>
        <w:t xml:space="preserve">#Inferencia para los coeficientes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</w:t>
      </w:r>
      <w:r>
        <w:rPr>
          <w:rStyle w:val="CommentTok"/>
        </w:rPr>
        <w:t xml:space="preserve">#Tranformacion de box.cox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(nortest) </w:t>
      </w:r>
      <w:r>
        <w:rPr>
          <w:rStyle w:val="CommentTok"/>
        </w:rPr>
        <w:t xml:space="preserve">#pruebas de normalidad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(mFilter) </w:t>
      </w:r>
      <w:r>
        <w:rPr>
          <w:rStyle w:val="CommentTok"/>
        </w:rPr>
        <w:t xml:space="preserve">#filtro de jodric prescot (p-h)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(strucchange)    </w:t>
      </w:r>
      <w:r>
        <w:rPr>
          <w:rStyle w:val="CommentTok"/>
        </w:rPr>
        <w:t xml:space="preserve"># analisis de estabilidad    http://127.0.0.1:29089/graphics/plot_zoom_png?width=941&amp;height=778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(TSstudio)</w:t>
      </w:r>
    </w:p>
    <w:bookmarkStart w:id="31" w:name="identificación"/>
    <w:p>
      <w:pPr>
        <w:pStyle w:val="Heading1"/>
      </w:pPr>
      <w:r>
        <w:t xml:space="preserve">1 Identificación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777--Programacion repos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Una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Final Work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Trimestral-20240719-074511.xlsx"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Yt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PBI,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"Yt"</w:t>
      </w:r>
      <w:r>
        <w:rPr>
          <w:rStyle w:val="NormalTok"/>
        </w:rPr>
        <w:t xml:space="preserve">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olution_files/figure-docx/cargar_Dato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Viendo inicialmente la grafica parece haber una tendencia y una estacionalidad, por lo que se procede a realizar un análisis de la tendencia y la estacionalidad.</w:t>
      </w:r>
    </w:p>
    <w:bookmarkStart w:id="25" w:name="X3039393c9e320be56f6b83a9effccb468b0eea0"/>
    <w:p>
      <w:pPr>
        <w:pStyle w:val="Heading2"/>
      </w:pPr>
      <w:r>
        <w:t xml:space="preserve">1.1 Análisis de la tendencia y la estacionalidad</w:t>
      </w:r>
    </w:p>
    <w:bookmarkStart w:id="23" w:name="estacionalidad"/>
    <w:p>
      <w:pPr>
        <w:pStyle w:val="Heading3"/>
      </w:pPr>
      <w:r>
        <w:t xml:space="preserve">1.1.1 Estacionalidad</w:t>
      </w:r>
    </w:p>
    <w:bookmarkEnd w:id="23"/>
    <w:bookmarkStart w:id="24" w:name="análisis-de-tendencia"/>
    <w:p>
      <w:pPr>
        <w:pStyle w:val="Heading3"/>
      </w:pPr>
      <w:r>
        <w:t xml:space="preserve">1.1.2 Análisis de tendencia</w:t>
      </w:r>
    </w:p>
    <w:bookmarkEnd w:id="24"/>
    <w:bookmarkEnd w:id="25"/>
    <w:bookmarkStart w:id="28" w:name="análisis-de-estacionariedad"/>
    <w:p>
      <w:pPr>
        <w:pStyle w:val="Heading2"/>
      </w:pPr>
      <w:r>
        <w:t xml:space="preserve">1.2 Análisis de estacionariedad</w:t>
      </w:r>
    </w:p>
    <w:bookmarkStart w:id="26" w:name="estacionariedad-en-varianza"/>
    <w:p>
      <w:pPr>
        <w:pStyle w:val="Heading3"/>
      </w:pPr>
      <w:r>
        <w:t xml:space="preserve">1.2.1 Estacionariedad en varianza</w:t>
      </w:r>
    </w:p>
    <w:bookmarkEnd w:id="26"/>
    <w:bookmarkStart w:id="27" w:name="estacionariedad-en-media"/>
    <w:p>
      <w:pPr>
        <w:pStyle w:val="Heading3"/>
      </w:pPr>
      <w:r>
        <w:t xml:space="preserve">1.2.2 Estacionariedad en media</w:t>
      </w:r>
    </w:p>
    <w:bookmarkEnd w:id="27"/>
    <w:bookmarkEnd w:id="28"/>
    <w:bookmarkStart w:id="30" w:name="identificación-del-modelo-estacionario"/>
    <w:p>
      <w:pPr>
        <w:pStyle w:val="Heading2"/>
      </w:pPr>
      <w:r>
        <w:t xml:space="preserve">1.3 Identificación del modelo estacionario</w:t>
      </w:r>
    </w:p>
    <w:bookmarkStart w:id="29" w:name="identificación-de-las-órdenes-p-y-q"/>
    <w:p>
      <w:pPr>
        <w:pStyle w:val="Heading3"/>
      </w:pPr>
      <w:r>
        <w:t xml:space="preserve">1.3.1 Identificación de las órdenes p y q</w:t>
      </w:r>
    </w:p>
    <w:bookmarkEnd w:id="29"/>
    <w:bookmarkEnd w:id="30"/>
    <w:bookmarkEnd w:id="31"/>
    <w:bookmarkStart w:id="32" w:name="estimación"/>
    <w:p>
      <w:pPr>
        <w:pStyle w:val="Heading1"/>
      </w:pPr>
      <w:r>
        <w:t xml:space="preserve">2 Estimación</w:t>
      </w:r>
    </w:p>
    <w:bookmarkEnd w:id="32"/>
    <w:bookmarkStart w:id="41" w:name="validación"/>
    <w:p>
      <w:pPr>
        <w:pStyle w:val="Heading1"/>
      </w:pPr>
      <w:r>
        <w:t xml:space="preserve">3 Validación</w:t>
      </w:r>
    </w:p>
    <w:bookmarkStart w:id="36" w:name="análisis-de-los-coeficientes-estimados"/>
    <w:p>
      <w:pPr>
        <w:pStyle w:val="Heading2"/>
      </w:pPr>
      <w:r>
        <w:t xml:space="preserve">3.1 Análisis de los coeficientes estimados</w:t>
      </w:r>
    </w:p>
    <w:bookmarkStart w:id="33" w:name="significación-de-los-coeficientes"/>
    <w:p>
      <w:pPr>
        <w:pStyle w:val="Heading3"/>
      </w:pPr>
      <w:r>
        <w:t xml:space="preserve">3.1.1 Significación de los coeficientes</w:t>
      </w:r>
    </w:p>
    <w:bookmarkEnd w:id="33"/>
    <w:bookmarkStart w:id="34" w:name="X095418234e4c9690cdc43ea203a5195f2dfd13f"/>
    <w:p>
      <w:pPr>
        <w:pStyle w:val="Heading3"/>
      </w:pPr>
      <w:r>
        <w:t xml:space="preserve">3.1.2 Examen de la matriz de correlaciones entre los coeficientes</w:t>
      </w:r>
    </w:p>
    <w:bookmarkEnd w:id="34"/>
    <w:bookmarkStart w:id="35" w:name="Xe015888d3cb2b99204073592d6a785eafb625d5"/>
    <w:p>
      <w:pPr>
        <w:pStyle w:val="Heading3"/>
      </w:pPr>
      <w:r>
        <w:t xml:space="preserve">3.1.3 Condición de convergencia e invertibilidad</w:t>
      </w:r>
    </w:p>
    <w:bookmarkEnd w:id="35"/>
    <w:bookmarkEnd w:id="36"/>
    <w:bookmarkStart w:id="40" w:name="análisis-de-los-residuos"/>
    <w:p>
      <w:pPr>
        <w:pStyle w:val="Heading2"/>
      </w:pPr>
      <w:r>
        <w:t xml:space="preserve">3.2 Análisis de los residuos</w:t>
      </w:r>
    </w:p>
    <w:bookmarkStart w:id="37" w:name="prueba-de-ljung-box"/>
    <w:p>
      <w:pPr>
        <w:pStyle w:val="Heading3"/>
      </w:pPr>
      <w:r>
        <w:t xml:space="preserve">3.2.1 Prueba de Ljung-Box</w:t>
      </w:r>
    </w:p>
    <w:bookmarkEnd w:id="37"/>
    <w:bookmarkStart w:id="38" w:name="homocedasticidad-o-varianza-constante"/>
    <w:p>
      <w:pPr>
        <w:pStyle w:val="Heading3"/>
      </w:pPr>
      <w:r>
        <w:t xml:space="preserve">3.2.2 Homocedasticidad o varianza constante</w:t>
      </w:r>
    </w:p>
    <w:bookmarkEnd w:id="38"/>
    <w:bookmarkStart w:id="39" w:name="contraste-de-normalidad"/>
    <w:p>
      <w:pPr>
        <w:pStyle w:val="Heading3"/>
      </w:pPr>
      <w:r>
        <w:t xml:space="preserve">3.2.3 Contraste de normalidad</w:t>
      </w:r>
    </w:p>
    <w:bookmarkEnd w:id="39"/>
    <w:bookmarkEnd w:id="40"/>
    <w:bookmarkEnd w:id="41"/>
    <w:bookmarkStart w:id="50" w:name="pronóstico"/>
    <w:p>
      <w:pPr>
        <w:pStyle w:val="Heading1"/>
      </w:pPr>
      <w:r>
        <w:t xml:space="preserve">4 Pronóstico</w:t>
      </w:r>
    </w:p>
    <w:bookmarkStart w:id="45" w:name="pronósticos-de-cada-modelo"/>
    <w:p>
      <w:pPr>
        <w:pStyle w:val="Heading2"/>
      </w:pPr>
      <w:r>
        <w:t xml:space="preserve">4.1 Pronósticos de cada modelo</w:t>
      </w:r>
    </w:p>
    <w:bookmarkStart w:id="42" w:name="modelo-1"/>
    <w:p>
      <w:pPr>
        <w:pStyle w:val="Heading3"/>
      </w:pPr>
      <w:r>
        <w:t xml:space="preserve">Modelo 1:</w:t>
      </w:r>
    </w:p>
    <w:bookmarkEnd w:id="42"/>
    <w:bookmarkStart w:id="43" w:name="modelo-2"/>
    <w:p>
      <w:pPr>
        <w:pStyle w:val="Heading3"/>
      </w:pPr>
      <w:r>
        <w:t xml:space="preserve">Modelo 2:</w:t>
      </w:r>
    </w:p>
    <w:bookmarkEnd w:id="43"/>
    <w:bookmarkStart w:id="44" w:name="modelo-3"/>
    <w:p>
      <w:pPr>
        <w:pStyle w:val="Heading3"/>
      </w:pPr>
      <w:r>
        <w:t xml:space="preserve">Modelo 3:</w:t>
      </w:r>
    </w:p>
    <w:bookmarkEnd w:id="44"/>
    <w:bookmarkEnd w:id="45"/>
    <w:bookmarkStart w:id="46" w:name="serie-original-yt-y-pronosticada"/>
    <w:p>
      <w:pPr>
        <w:pStyle w:val="Heading2"/>
      </w:pPr>
      <w:r>
        <w:t xml:space="preserve">Serie original (YT) y pronosticada</w:t>
      </w:r>
    </w:p>
    <w:bookmarkEnd w:id="46"/>
    <w:bookmarkStart w:id="47" w:name="X6fcee741d365b8954b6d4aec8d7d273612b1882"/>
    <w:p>
      <w:pPr>
        <w:pStyle w:val="Heading2"/>
      </w:pPr>
      <w:r>
        <w:t xml:space="preserve">Gráfica del ajuste y pronóstico con valores reales</w:t>
      </w:r>
    </w:p>
    <w:bookmarkEnd w:id="47"/>
    <w:bookmarkStart w:id="48" w:name="métricas-basadas-en-el-error"/>
    <w:p>
      <w:pPr>
        <w:pStyle w:val="Heading2"/>
      </w:pPr>
      <w:r>
        <w:t xml:space="preserve">Métricas basadas en el error</w:t>
      </w:r>
    </w:p>
    <w:bookmarkEnd w:id="48"/>
    <w:bookmarkStart w:id="49" w:name="aic-y-bic"/>
    <w:p>
      <w:pPr>
        <w:pStyle w:val="Heading2"/>
      </w:pPr>
      <w:r>
        <w:t xml:space="preserve">AIC y BIC</w:t>
      </w:r>
    </w:p>
    <w:bookmarkEnd w:id="49"/>
    <w:bookmarkEnd w:id="50"/>
    <w:bookmarkStart w:id="53" w:name="conclusión-elección-del-modelo-sarima"/>
    <w:p>
      <w:pPr>
        <w:pStyle w:val="Heading1"/>
      </w:pPr>
      <w:r>
        <w:t xml:space="preserve">Conclusión: Elección del Modelo SARIMA</w:t>
      </w:r>
    </w:p>
    <w:bookmarkStart w:id="51" w:name="modelos-evaluados"/>
    <w:p>
      <w:pPr>
        <w:pStyle w:val="Heading2"/>
      </w:pPr>
      <w:r>
        <w:t xml:space="preserve">Modelos Evaluados:</w:t>
      </w:r>
    </w:p>
    <w:bookmarkEnd w:id="51"/>
    <w:bookmarkStart w:id="52" w:name="elección-del-mejor-modelo"/>
    <w:p>
      <w:pPr>
        <w:pStyle w:val="Heading2"/>
      </w:pPr>
      <w:r>
        <w:t xml:space="preserve">Elección del Mejor Modelo: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</dc:title>
  <dc:creator>victor</dc:creator>
  <cp:keywords/>
  <dcterms:created xsi:type="dcterms:W3CDTF">2024-07-19T13:16:39Z</dcterms:created>
  <dcterms:modified xsi:type="dcterms:W3CDTF">2024-07-19T13:16:39Z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2024-07-19</vt:lpwstr>
  </property>
  <property fmtid="{D5CDD505-2E9C-101B-9397-08002B2CF9AE}" pid="3" name="output">
    <vt:lpwstr>word_document</vt:lpwstr>
  </property>
</Properties>
</file>