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Parte 2: Cross-Site Request Forgery (CSRF)</w:t>
      </w:r>
    </w:p>
    <w:p>
      <w:pPr>
        <w:spacing w:after="60"/>
        <w:jc w:val="left"/>
      </w:pPr>
      <w:r>
        <w:rPr>
          <w:i/>
          <w:iCs/>
          <w:color w:val="666666"/>
          <w:sz w:val="20"/>
          <w:szCs w:val="20"/>
        </w:rPr>
        <w:t xml:space="preserve">Tecnológico de Costa Rica  —  Programación Web 2</w:t>
      </w:r>
    </w:p>
    <w:p>
      <w:pPr>
        <w:spacing w:after="60"/>
      </w:pPr>
      <w:r>
        <w:rPr>
          <w:color w:val="666666"/>
          <w:sz w:val="20"/>
          <w:szCs w:val="20"/>
        </w:rPr>
        <w:t xml:space="preserve">Estudiante: Valeria Ceba Segura</w:t>
      </w:r>
    </w:p>
    <w:p>
      <w:pPr>
        <w:spacing w:after="400"/>
      </w:pPr>
      <w:r>
        <w:rPr>
          <w:color w:val="666666"/>
          <w:sz w:val="20"/>
          <w:szCs w:val="20"/>
        </w:rPr>
        <w:t xml:space="preserve">Fecha: 20 de junio de 2026</w:t>
      </w:r>
    </w:p>
    <w:p>
      <w:pPr>
        <w:pStyle w:val="Heading2"/>
      </w:pPr>
      <w:r>
        <w:t xml:space="preserve">¿Qué es un ataque CSRF y cómo se ejecuta?</w:t>
      </w:r>
    </w:p>
    <w:p>
      <w:pPr>
        <w:spacing w:after="240"/>
        <w:jc w:val="both"/>
      </w:pPr>
      <w:r>
        <w:t xml:space="preserve">Un ataque de Cross-Site Request Forgery (CSRF), o falsificación de petición en sitios cruzados, es una técnica maliciosa en la que un atacante logra que el navegador de un usuario autenticado envíe una petición HTTP no deseada hacia una aplicación web en la que ese usuario ya tiene una sesión activa. El ataque explota la confianza que la aplicación deposita en el navegador del usuario: cuando un usuario inicia sesión en un sitio web, el navegador almacena una cookie de sesión que se adjunta automáticamente a cada solicitud dirigida a ese dominio. El atacante aprovecha este comportamiento creando una página web maliciosa (o inyectando código en una página comprometida) que contiene una petición silenciosa —por ejemplo, un formulario HTML con método POST o una etiqueta &lt;img&gt; con una URL maliciosa— dirigida al servidor legítimo. Cuando la víctima visita la página del atacante mientras mantiene su sesión abierta, el navegador adjunta automáticamente las cookies de sesión a la petición fraudulenta, y el servidor la procesa como si fuera legítima porque no puede distinguir entre una petición originada por el propio usuario y una generada por el sitio del atacante. Para que el ataque sea posible se requieren dos condiciones: que el usuario esté autenticado en la aplicación objetivo y que la petición que se desea falsificar sea predecible (es decir, que sus parámetros sean conocidos o adivinables por el atacante). El impacto puede ser grave: transferencias de dinero no autorizadas, cambios de contraseña o correo electrónico, publicación de contenido, eliminación de datos o cualquier acción que el usuario pudiera ejecutar normalmente en la aplicación.</w:t>
      </w:r>
    </w:p>
    <w:p>
      <w:pPr>
        <w:pStyle w:val="Heading2"/>
      </w:pPr>
      <w:r>
        <w:t xml:space="preserve">Mitigación mediante tokens anti-CSRF</w:t>
      </w:r>
    </w:p>
    <w:p>
      <w:pPr>
        <w:spacing w:after="240"/>
        <w:jc w:val="both"/>
      </w:pPr>
      <w:r>
        <w:t xml:space="preserve">La medida de mitigación más efectiva y ampliamente adoptada contra los ataques CSRF es el uso de tokens anti-CSRF (también llamados tokens de sincronización o CSRF tokens). El mecanismo funciona de la siguiente manera: cuando el servidor genera un formulario o una página para el usuario, incluye un valor secreto, aleatorio y único —el token CSRF— que se asocia a la sesión del usuario y se inserta como campo oculto en el formulario o como encabezado HTTP personalizado en las peticiones AJAX. Al recibir la solicitud, el servidor verifica que el token enviado en el cuerpo o en el encabezado coincida con el que tiene almacenado en la sesión del usuario. Si los valores no coinciden, la petición es rechazada. La clave de esta defensa radica en que el token no se transmite automáticamente como las cookies: un sitio malicioso en otro dominio no puede leer el token porque la política de mismo origen (Same-Origin Policy) del navegador impide que JavaScript de un dominio externo acceda al contenido HTML o a las respuestas de otro dominio. Por tanto, aunque el atacante logre que el navegador de la víctima envíe una petición falsa, no podrá incluir el token correcto y el servidor rechazará la solicitud. Complementariamente, se pueden aplicar otras medidas como el atributo SameSite en las cookies (que restringe su envío en peticiones de origen cruzado), la verificación del encabezado Origin o Referer, y el uso de re-autenticación para operaciones críticas. En conjunto, estas estrategias eliminan la posibilidad de que una petición falsificada sea aceptada por el servidor.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2026-06-20T20:52:38.836Z</dcterms:created>
  <dcterms:modified xsi:type="dcterms:W3CDTF">2026-06-20T20:52:38.837Z</dcterms:modified>
</cp:coreProperties>
</file>

<file path=docProps/custom.xml><?xml version="1.0" encoding="utf-8"?>
<Properties xmlns="http://schemas.openxmlformats.org/officeDocument/2006/custom-properties" xmlns:vt="http://schemas.openxmlformats.org/officeDocument/2006/docPropsVTypes"/>
</file>