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Procedimiento de oferta, contraoferta y zona de acuerdo</w:t>
      </w:r>
    </w:p>
    <w:p>
      <w:pPr/>
      <w:r>
        <w:t xml:space="preserve">Oct 14, 2026</w:t>
      </w:r>
      <w:r>
        <w:t xml:space="preserve"> · Versión 0.3 (reemplaza la 0.2) · Estado: </w:t>
      </w:r>
      <w:r>
        <w:rPr>
          <w:b/>
        </w:rPr>
        <w:t xml:space="preserve">borrador de negocio con supuestos cerrados, pendiente de aprobación del dueño</w:t>
      </w:r>
      <w:r>
        <w:t xml:space="preserve"> · Elaborado por: </w:t>
      </w:r>
      <w:r>
        <w:t xml:space="preserve">@Kenn</w:t>
      </w:r>
    </w:p>
    <w:p>
      <w:pPr/>
      <w:r>
        <w:t xml:space="preserve">Este documento cierra los supuestos necesarios para operar la oferta y la contraoferta. Cada supuesto tiene un valor de prueba en los siete Excel de datos de ejemplo (01 a 07). El dueño lo cambia ahí, y el procedimiento sigue igual.</w:t>
      </w:r>
    </w:p>
    <w:p>
      <w:pPr/>
      <w:r>
        <w:t xml:space="preserve">Convenciones: </w:t>
      </w:r>
      <w:r>
        <w:rPr>
          <w:b/>
        </w:rPr>
        <w:t xml:space="preserve">[S]</w:t>
      </w:r>
      <w:r>
        <w:t xml:space="preserve"> = supuesto del equipo, cambiable por el dueño. </w:t>
      </w:r>
      <w:r>
        <w:rPr>
          <w:b/>
        </w:rPr>
        <w:t xml:space="preserve">[mock]</w:t>
      </w:r>
      <w:r>
        <w:t xml:space="preserve"> = valor de prueba del Excel. </w:t>
      </w:r>
      <w:r>
        <w:rPr>
          <w:b/>
        </w:rPr>
        <w:t xml:space="preserve">[pendiente]</w:t>
      </w:r>
      <w:r>
        <w:t xml:space="preserve"> = no se supone; requiere un documento real antes de enviar.</w:t>
      </w:r>
    </w:p>
    <w:p>
      <w:pPr>
        <w:pStyle w:val="Heading2"/>
      </w:pPr>
      <w:r>
        <w:t xml:space="preserve">1. Principios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Win-win.</w:t>
      </w:r>
      <w:r>
        <w:t xml:space="preserve"> Una versión solo se envía si la clínica cumple su umbral de recuperación y Tecnocare cumple su piso de margen (RN-044).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Cada cambio se justifica</w:t>
      </w:r>
      <w:r>
        <w:t xml:space="preserve"> con su efecto en ambos indicadores.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Datos del cliente.</w:t>
      </w:r>
      <w:r>
        <w:t xml:space="preserve"> Pueden cambiar cuando los aporta el cliente, con fuente y fecha. Tecnocare no los inventa ni los ajusta para cuadrar una cifra.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Solo se ofrece lo aprobado</w:t>
      </w:r>
      <w:r>
        <w:t xml:space="preserve"> en la lista de precios y dentro de los pisos.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Una persona aprueba cada salida</w:t>
      </w:r>
      <w:r>
        <w:t xml:space="preserve"> (RN-001, RN-040). La IA redacta; el sistema calcula.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Sin promesas de resultado</w:t>
      </w:r>
      <w:r>
        <w:t xml:space="preserve">, sin comparaciones con competidores y sin comodato ni leasing (RN-002, RN-044, INV-33).</w:t>
      </w:r>
    </w:p>
    <w:p>
      <w:pPr>
        <w:pStyle w:val="Heading2"/>
      </w:pPr>
      <w:r>
        <w:t xml:space="preserve">2. Fórmulas</w:t>
      </w:r>
    </w:p>
    <w:p>
      <w:pPr/>
      <w:r>
        <w:t xml:space="preserve">Son definiciones financieras de uso general: recuperación simple y retorno simple a un horizonte.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Inversión (I)</w:t>
      </w:r>
      <w:r>
        <w:t xml:space="preserve"> = precio del equipo + instalación cobrada + capacitación cobrada.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Flujo neto mensual (F)</w:t>
      </w:r>
      <w:r>
        <w:t xml:space="preserve"> = sesiones por mes × (precio por sesión en USD − insumo por sesión).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Recuperación (meses)</w:t>
      </w:r>
      <w:r>
        <w:t xml:space="preserve"> = I ÷ 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Retorno a H meses</w:t>
      </w:r>
      <w:r>
        <w:t xml:space="preserve"> = (F × H − I) ÷ I, con H = 24 [S].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Umbral de la clínica:</w:t>
      </w:r>
      <w:r>
        <w:t xml:space="preserve"> recuperación de 12 meses o menos, que equivale a retorno de 100% o más a 24 meses [S].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Margen de Tecnocare</w:t>
      </w:r>
      <w:r>
        <w:t xml:space="preserve"> = (ingreso − costo total) ÷ ingreso. Ingreso = I. Costo total = costo de adquisición + costo de instalación + sesiones de capacitación requeridas × costo por sesión.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Precio mínimo del equipo</w:t>
      </w:r>
      <w:r>
        <w:t xml:space="preserve"> = costo total ÷ (1 − piso de margen) − instalación cobrada − capacitación cobrada.</w:t>
      </w:r>
    </w:p>
    <w:p>
      <w:pPr/>
      <w:r>
        <w:t xml:space="preserve">No se usa ocupación: las sesiones por mes ya reflejan el uso real, y sumarla contaría dos veces lo mismo.</w:t>
      </w:r>
    </w:p>
    <w:p>
      <w:pPr/>
      <w:r>
        <w:t xml:space="preserve">Queda fuera en la v0.3: IGV, financiamiento de cuotas, mantenimiento después de la garantía y valor presente. Cada uno tiene su supuesto en el Excel de parámetros generales (04), para que el dueño lo active si lo necesita.</w:t>
      </w:r>
    </w:p>
    <w:p>
      <w:pPr>
        <w:pStyle w:val="Heading2"/>
      </w:pPr>
      <w:r>
        <w:t xml:space="preserve">3. Supuestos cerrados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Supuesto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Valor de prueba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Quién lo cambia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S-01</w:t>
            </w:r>
          </w:p>
        </w:tc>
        <w:tc>
          <w:tcPr>
            <w:tcW w:w="1872" w:type="dxa"/>
          </w:tcPr>
          <w:p>
            <w:pPr/>
            <w:r>
              <w:t xml:space="preserve">Horizonte de evaluación H</w:t>
            </w:r>
          </w:p>
        </w:tc>
        <w:tc>
          <w:tcPr>
            <w:tcW w:w="1872" w:type="dxa"/>
          </w:tcPr>
          <w:p>
            <w:pPr/>
            <w:r>
              <w:t xml:space="preserve">24 meses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S-02</w:t>
            </w:r>
          </w:p>
        </w:tc>
        <w:tc>
          <w:tcPr>
            <w:tcW w:w="1872" w:type="dxa"/>
          </w:tcPr>
          <w:p>
            <w:pPr/>
            <w:r>
              <w:t xml:space="preserve">Recuperación máxima aceptable para la clínica</w:t>
            </w:r>
          </w:p>
        </w:tc>
        <w:tc>
          <w:tcPr>
            <w:tcW w:w="1872" w:type="dxa"/>
          </w:tcPr>
          <w:p>
            <w:pPr/>
            <w:r>
              <w:t xml:space="preserve">12 meses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S-03</w:t>
            </w:r>
          </w:p>
        </w:tc>
        <w:tc>
          <w:tcPr>
            <w:tcW w:w="1872" w:type="dxa"/>
          </w:tcPr>
          <w:p>
            <w:pPr/>
            <w:r>
              <w:t xml:space="preserve">Tipo de cambio</w:t>
            </w:r>
          </w:p>
        </w:tc>
        <w:tc>
          <w:tcPr>
            <w:tcW w:w="1872" w:type="dxa"/>
          </w:tcPr>
          <w:p>
            <w:pPr/>
            <w:r>
              <w:t xml:space="preserve">3.75 PEN por USD</w:t>
            </w:r>
          </w:p>
        </w:tc>
        <w:tc>
          <w:tcPr>
            <w:tcW w:w="1872" w:type="dxa"/>
          </w:tcPr>
          <w:p>
            <w:pPr/>
            <w:r>
              <w:t xml:space="preserve">[mock]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S-04</w:t>
            </w:r>
          </w:p>
        </w:tc>
        <w:tc>
          <w:tcPr>
            <w:tcW w:w="1872" w:type="dxa"/>
          </w:tcPr>
          <w:p>
            <w:pPr/>
            <w:r>
              <w:t xml:space="preserve">IGV</w:t>
            </w:r>
          </w:p>
        </w:tc>
        <w:tc>
          <w:tcPr>
            <w:tcW w:w="1872" w:type="dxa"/>
          </w:tcPr>
          <w:p>
            <w:pPr/>
            <w:r>
              <w:t xml:space="preserve">Excluido (0%)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 y contador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S-05</w:t>
            </w:r>
          </w:p>
        </w:tc>
        <w:tc>
          <w:tcPr>
            <w:tcW w:w="1872" w:type="dxa"/>
          </w:tcPr>
          <w:p>
            <w:pPr/>
            <w:r>
              <w:t xml:space="preserve">Recargo por cuotas</w:t>
            </w:r>
          </w:p>
        </w:tc>
        <w:tc>
          <w:tcPr>
            <w:tcW w:w="1872" w:type="dxa"/>
          </w:tcPr>
          <w:p>
            <w:pPr/>
            <w:r>
              <w:t xml:space="preserve">0%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S-06</w:t>
            </w:r>
          </w:p>
        </w:tc>
        <w:tc>
          <w:tcPr>
            <w:tcW w:w="1872" w:type="dxa"/>
          </w:tcPr>
          <w:p>
            <w:pPr/>
            <w:r>
              <w:t xml:space="preserve">Mantenimiento cargado al retorno</w:t>
            </w:r>
          </w:p>
        </w:tc>
        <w:tc>
          <w:tcPr>
            <w:tcW w:w="1872" w:type="dxa"/>
          </w:tcPr>
          <w:p>
            <w:pPr/>
            <w:r>
              <w:t xml:space="preserve">0 USD al mes (cubierto por garantía)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S-07</w:t>
            </w:r>
          </w:p>
        </w:tc>
        <w:tc>
          <w:tcPr>
            <w:tcW w:w="1872" w:type="dxa"/>
          </w:tcPr>
          <w:p>
            <w:pPr/>
            <w:r>
              <w:t xml:space="preserve">Margen mínimo de Tecnocare</w:t>
            </w:r>
          </w:p>
        </w:tc>
        <w:tc>
          <w:tcPr>
            <w:tcW w:w="1872" w:type="dxa"/>
          </w:tcPr>
          <w:p>
            <w:pPr/>
            <w:r>
              <w:t xml:space="preserve">25%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S-08</w:t>
            </w:r>
          </w:p>
        </w:tc>
        <w:tc>
          <w:tcPr>
            <w:tcW w:w="1872" w:type="dxa"/>
          </w:tcPr>
          <w:p>
            <w:pPr/>
            <w:r>
              <w:t xml:space="preserve">Capacitación requerida por venta</w:t>
            </w:r>
          </w:p>
        </w:tc>
        <w:tc>
          <w:tcPr>
            <w:tcW w:w="1872" w:type="dxa"/>
          </w:tcPr>
          <w:p>
            <w:pPr/>
            <w:r>
              <w:t xml:space="preserve">2 sesiones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S-09</w:t>
            </w:r>
          </w:p>
        </w:tc>
        <w:tc>
          <w:tcPr>
            <w:tcW w:w="1872" w:type="dxa"/>
          </w:tcPr>
          <w:p>
            <w:pPr/>
            <w:r>
              <w:t xml:space="preserve">Plazo máximo de pago</w:t>
            </w:r>
          </w:p>
        </w:tc>
        <w:tc>
          <w:tcPr>
            <w:tcW w:w="1872" w:type="dxa"/>
          </w:tcPr>
          <w:p>
            <w:pPr/>
            <w:r>
              <w:t xml:space="preserve">6 cuotas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S-10</w:t>
            </w:r>
          </w:p>
        </w:tc>
        <w:tc>
          <w:tcPr>
            <w:tcW w:w="1872" w:type="dxa"/>
          </w:tcPr>
          <w:p>
            <w:pPr/>
            <w:r>
              <w:t xml:space="preserve">Capacitación incluida mínima</w:t>
            </w:r>
          </w:p>
        </w:tc>
        <w:tc>
          <w:tcPr>
            <w:tcW w:w="1872" w:type="dxa"/>
          </w:tcPr>
          <w:p>
            <w:pPr/>
            <w:r>
              <w:t xml:space="preserve">1 sesión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S-11</w:t>
            </w:r>
          </w:p>
        </w:tc>
        <w:tc>
          <w:tcPr>
            <w:tcW w:w="1872" w:type="dxa"/>
          </w:tcPr>
          <w:p>
            <w:pPr/>
            <w:r>
              <w:t xml:space="preserve">Garantía mínima</w:t>
            </w:r>
          </w:p>
        </w:tc>
        <w:tc>
          <w:tcPr>
            <w:tcW w:w="1872" w:type="dxa"/>
          </w:tcPr>
          <w:p>
            <w:pPr/>
            <w:r>
              <w:t xml:space="preserve">12 meses</w:t>
            </w:r>
          </w:p>
        </w:tc>
        <w:tc>
          <w:tcPr>
            <w:tcW w:w="1872" w:type="dxa"/>
          </w:tcPr>
          <w:p>
            <w:pPr/>
            <w:r>
              <w:t xml:space="preserve">[mock]</w:t>
            </w:r>
          </w:p>
        </w:tc>
        <w:tc>
          <w:tcPr>
            <w:tcW w:w="1872" w:type="dxa"/>
          </w:tcPr>
          <w:p>
            <w:pPr/>
            <w:r>
              <w:t xml:space="preserve">Dueño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S-12</w:t>
            </w:r>
          </w:p>
        </w:tc>
        <w:tc>
          <w:tcPr>
            <w:tcW w:w="1872" w:type="dxa"/>
          </w:tcPr>
          <w:p>
            <w:pPr/>
            <w:r>
              <w:t xml:space="preserve">Descargo del retorno</w:t>
            </w:r>
          </w:p>
        </w:tc>
        <w:tc>
          <w:tcPr>
            <w:tcW w:w="1872" w:type="dxa"/>
          </w:tcPr>
          <w:p>
            <w:pPr/>
            <w:r>
              <w:t xml:space="preserve">Texto en la hoja supuestos</w:t>
            </w:r>
          </w:p>
        </w:tc>
        <w:tc>
          <w:tcPr>
            <w:tcW w:w="1872" w:type="dxa"/>
          </w:tcPr>
          <w:p>
            <w:pPr/>
            <w:r>
              <w:t xml:space="preserve">[S]</w:t>
            </w:r>
          </w:p>
        </w:tc>
        <w:tc>
          <w:tcPr>
            <w:tcW w:w="1872" w:type="dxa"/>
          </w:tcPr>
          <w:p>
            <w:pPr/>
            <w:r>
              <w:t xml:space="preserve">Asesor y dueño</w:t>
            </w:r>
          </w:p>
        </w:tc>
      </w:tr>
    </w:tbl>
    <w:p>
      <w:pPr/>
      <w:r>
        <w:t xml:space="preserve">Catálogo de productos (01) y lista de precios con instalación, capacitación e insumos por sesión (02) son transversales a todo el CRM. Los costos de Tecnocare (03, confidencial) y los parámetros generales (04) también. Los umbrales y palancas de este procedimiento están en el 06 y la calculadora en el 07. Todo es [mock].</w:t>
      </w:r>
    </w:p>
    <w:p>
      <w:pPr>
        <w:pStyle w:val="Heading2"/>
      </w:pPr>
      <w:r>
        <w:t xml:space="preserve">4. Palancas del lado de Tecnocare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Orden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Palanca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Efecto en la inversión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Plazo de pago</w:t>
            </w:r>
          </w:p>
        </w:tc>
        <w:tc>
          <w:tcPr>
            <w:tcW w:w="2340" w:type="dxa"/>
          </w:tcPr>
          <w:p>
            <w:pPr/>
            <w:r>
              <w:t xml:space="preserve">6 cuotas</w:t>
            </w:r>
          </w:p>
        </w:tc>
        <w:tc>
          <w:tcPr>
            <w:tcW w:w="2340" w:type="dxa"/>
          </w:tcPr>
          <w:p>
            <w:pPr/>
            <w:r>
              <w:t xml:space="preserve">Ninguno (sin recargo)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Capacitación incluida</w:t>
            </w:r>
          </w:p>
        </w:tc>
        <w:tc>
          <w:tcPr>
            <w:tcW w:w="2340" w:type="dxa"/>
          </w:tcPr>
          <w:p>
            <w:pPr/>
            <w:r>
              <w:t xml:space="preserve">1 sesión</w:t>
            </w:r>
          </w:p>
        </w:tc>
        <w:tc>
          <w:tcPr>
            <w:tcW w:w="2340" w:type="dxa"/>
          </w:tcPr>
          <w:p>
            <w:pPr/>
            <w:r>
              <w:t xml:space="preserve">Baja la inversión por sesión incluida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Instalación incluida</w:t>
            </w:r>
          </w:p>
        </w:tc>
        <w:tc>
          <w:tcPr>
            <w:tcW w:w="2340" w:type="dxa"/>
          </w:tcPr>
          <w:p>
            <w:pPr/>
            <w:r>
              <w:t xml:space="preserve">0 USD</w:t>
            </w:r>
          </w:p>
        </w:tc>
        <w:tc>
          <w:tcPr>
            <w:tcW w:w="2340" w:type="dxa"/>
          </w:tcPr>
          <w:p>
            <w:pPr/>
            <w:r>
              <w:t xml:space="preserve">Quita la instalación de la inversión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Garantía ampliada</w:t>
            </w:r>
          </w:p>
        </w:tc>
        <w:tc>
          <w:tcPr>
            <w:tcW w:w="2340" w:type="dxa"/>
          </w:tcPr>
          <w:p>
            <w:pPr/>
            <w:r>
              <w:t xml:space="preserve">12 meses</w:t>
            </w:r>
          </w:p>
        </w:tc>
        <w:tc>
          <w:tcPr>
            <w:tcW w:w="2340" w:type="dxa"/>
          </w:tcPr>
          <w:p>
            <w:pPr/>
            <w:r>
              <w:t xml:space="preserve">Ninguno en el retorno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Precio del equipo</w:t>
            </w:r>
          </w:p>
        </w:tc>
        <w:tc>
          <w:tcPr>
            <w:tcW w:w="2340" w:type="dxa"/>
          </w:tcPr>
          <w:p>
            <w:pPr/>
            <w:r>
              <w:t xml:space="preserve">Calculado por la calculadora</w:t>
            </w:r>
          </w:p>
        </w:tc>
        <w:tc>
          <w:tcPr>
            <w:tcW w:w="2340" w:type="dxa"/>
          </w:tcPr>
          <w:p>
            <w:pPr/>
            <w:r>
              <w:t xml:space="preserve">Baja la inversión; no puede bajar del piso de margen</w:t>
            </w:r>
          </w:p>
        </w:tc>
      </w:tr>
    </w:tbl>
    <w:p>
      <w:pPr/>
      <w:r>
        <w:t xml:space="preserve">Para Ozonette, con los valores de prueba, el precio mínimo del equipo es 5,693 USD.</w:t>
      </w:r>
    </w:p>
    <w:p>
      <w:pPr>
        <w:pStyle w:val="Heading2"/>
      </w:pPr>
      <w:r>
        <w:t xml:space="preserve">5. Procedimiento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Preparar la propuesta inicial</w:t>
      </w:r>
      <w:r>
        <w:t xml:space="preserve"> (dueño). Elegir producto y condiciones dentro de los pisos. La calculadora devuelve I, F, recuperación, retorno, margen y zona.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Registrar la respuesta</w:t>
      </w:r>
      <w:r>
        <w:t xml:space="preserve"> (asesor). Objeción textual, fecha, canal y destinatario (GAP-01).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Clasificar la objeción</w:t>
      </w:r>
      <w:r>
        <w:t xml:space="preserve">: precio del equipo, precio por sesión, volumen, plazo, garantía u otra.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Registrar datos nuevos del cliente</w:t>
      </w:r>
      <w:r>
        <w:t xml:space="preserve"> con fuente y fecha. Si no los aporta, quedan pendientes; no se estiman.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Recalcular</w:t>
      </w:r>
      <w:r>
        <w:t xml:space="preserve"> con los valores vigentes y generar la justificación del cambio.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Verificar la zona:</w:t>
      </w:r>
    </w:p>
    <w:p>
      <w:pPr>
        <w:pStyle w:val="ListParagraph"/>
        <w:numPr>
          <w:ilvl w:val="1"/>
          <w:numId w:val="5"/>
        </w:numPr>
      </w:pPr>
      <w:r>
        <w:t xml:space="preserve">Clínica y Tecnocare cumplen: la versión es viable y se prepara el borrador.</w:t>
      </w:r>
    </w:p>
    <w:p>
      <w:pPr>
        <w:pStyle w:val="ListParagraph"/>
        <w:numPr>
          <w:ilvl w:val="1"/>
          <w:numId w:val="5"/>
        </w:numPr>
      </w:pPr>
      <w:r>
        <w:t xml:space="preserve">Solo la clínica cumple (Tecnocare queda bajo su piso de margen): se sube el precio del equipo hasta el mínimo, sin pasar la lista y solo si la clínica sigue cumpliendo. Si no es posible, no hay acuerdo.</w:t>
      </w:r>
    </w:p>
    <w:p>
      <w:pPr>
        <w:pStyle w:val="ListParagraph"/>
        <w:numPr>
          <w:ilvl w:val="1"/>
          <w:numId w:val="5"/>
        </w:numPr>
      </w:pPr>
      <w:r>
        <w:t xml:space="preserve">Solo Tecnocare cumple (la clínica no recupera a tiempo): se mueven las palancas de Tecnocare en el orden de la sección 4, sin bajar de ningún piso, hasta que la clínica cumpla. Si se agotan, no se envía como propuesta; cualquier excepción la decide el dueño fuera del procedimiento, con registro.</w:t>
      </w:r>
    </w:p>
    <w:p>
      <w:pPr>
        <w:pStyle w:val="ListParagraph"/>
        <w:numPr>
          <w:ilvl w:val="1"/>
          <w:numId w:val="5"/>
        </w:numPr>
      </w:pPr>
      <w:r>
        <w:t xml:space="preserve">Ninguno cumple: no hay trato. Se registra el motivo.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Redactar el borrador.</w:t>
      </w:r>
      <w:r>
        <w:t xml:space="preserve"> La IA escribe el texto con marcadores. El sistema inserta cifras, descargo aprobado y firma.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Validar</w:t>
      </w:r>
      <w:r>
        <w:t xml:space="preserve">: esquema, eco de variables, resumen sin dígitos, términos prohibidos y cifras contra la calculadora.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Aprobar y enviar</w:t>
      </w:r>
      <w:r>
        <w:t xml:space="preserve"> (dueño). Solo el dueño envía.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Registrar la versión</w:t>
      </w:r>
      <w:r>
        <w:t xml:space="preserve"> sin sobrescribir la anterior, con su justificación.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Dar seguimiento</w:t>
      </w:r>
      <w:r>
        <w:t xml:space="preserve"> según la cadencia (RN-043).</w:t>
      </w:r>
    </w:p>
    <w:p>
      <w:pPr>
        <w:pStyle w:val="Heading2"/>
      </w:pPr>
      <w:r>
        <w:t xml:space="preserve">6. Escenarios de prueba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Propuesta inicial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Contraoferta viable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Sin acuerdo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Precio por sesión que cobra la clínica (PEN)</w:t>
            </w:r>
          </w:p>
        </w:tc>
        <w:tc>
          <w:tcPr>
            <w:tcW w:w="2340" w:type="dxa"/>
          </w:tcPr>
          <w:p>
            <w:pPr/>
            <w:r>
              <w:t xml:space="preserve">120</w:t>
            </w:r>
          </w:p>
        </w:tc>
        <w:tc>
          <w:tcPr>
            <w:tcW w:w="2340" w:type="dxa"/>
          </w:tcPr>
          <w:p>
            <w:pPr/>
            <w:r>
              <w:t xml:space="preserve">110</w:t>
            </w:r>
          </w:p>
        </w:tc>
        <w:tc>
          <w:tcPr>
            <w:tcW w:w="2340" w:type="dxa"/>
          </w:tcPr>
          <w:p>
            <w:pPr/>
            <w:r>
              <w:t xml:space="preserve">90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Sesiones por mes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Precio del equipo (USD)</w:t>
            </w:r>
          </w:p>
        </w:tc>
        <w:tc>
          <w:tcPr>
            <w:tcW w:w="2340" w:type="dxa"/>
          </w:tcPr>
          <w:p>
            <w:pPr/>
            <w:r>
              <w:t xml:space="preserve">6,500</w:t>
            </w:r>
          </w:p>
        </w:tc>
        <w:tc>
          <w:tcPr>
            <w:tcW w:w="2340" w:type="dxa"/>
          </w:tcPr>
          <w:p>
            <w:pPr/>
            <w:r>
              <w:t xml:space="preserve">6,100</w:t>
            </w:r>
          </w:p>
        </w:tc>
        <w:tc>
          <w:tcPr>
            <w:tcW w:w="2340" w:type="dxa"/>
          </w:tcPr>
          <w:p>
            <w:pPr/>
            <w:r>
              <w:t xml:space="preserve">6,500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Instalación incluida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Inversión (USD)</w:t>
            </w:r>
          </w:p>
        </w:tc>
        <w:tc>
          <w:tcPr>
            <w:tcW w:w="2340" w:type="dxa"/>
          </w:tcPr>
          <w:p>
            <w:pPr/>
            <w:r>
              <w:t xml:space="preserve">6,900</w:t>
            </w:r>
          </w:p>
        </w:tc>
        <w:tc>
          <w:tcPr>
            <w:tcW w:w="2340" w:type="dxa"/>
          </w:tcPr>
          <w:p>
            <w:pPr/>
            <w:r>
              <w:t xml:space="preserve">6,100</w:t>
            </w:r>
          </w:p>
        </w:tc>
        <w:tc>
          <w:tcPr>
            <w:tcW w:w="2340" w:type="dxa"/>
          </w:tcPr>
          <w:p>
            <w:pPr/>
            <w:r>
              <w:t xml:space="preserve">6,900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Recuperación (meses)</w:t>
            </w:r>
          </w:p>
        </w:tc>
        <w:tc>
          <w:tcPr>
            <w:tcW w:w="2340" w:type="dxa"/>
          </w:tcPr>
          <w:p>
            <w:pPr/>
            <w:r>
              <w:t xml:space="preserve">10.1</w:t>
            </w:r>
          </w:p>
        </w:tc>
        <w:tc>
          <w:tcPr>
            <w:tcW w:w="2340" w:type="dxa"/>
          </w:tcPr>
          <w:p>
            <w:pPr/>
            <w:r>
              <w:t xml:space="preserve">10.6</w:t>
            </w:r>
          </w:p>
        </w:tc>
        <w:tc>
          <w:tcPr>
            <w:tcW w:w="2340" w:type="dxa"/>
          </w:tcPr>
          <w:p>
            <w:pPr/>
            <w:r>
              <w:t xml:space="preserve">25.6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Retorno a 24 meses</w:t>
            </w:r>
          </w:p>
        </w:tc>
        <w:tc>
          <w:tcPr>
            <w:tcW w:w="2340" w:type="dxa"/>
          </w:tcPr>
          <w:p>
            <w:pPr/>
            <w:r>
              <w:t xml:space="preserve">136.5%</w:t>
            </w:r>
          </w:p>
        </w:tc>
        <w:tc>
          <w:tcPr>
            <w:tcW w:w="2340" w:type="dxa"/>
          </w:tcPr>
          <w:p>
            <w:pPr/>
            <w:r>
              <w:t xml:space="preserve">125.6%</w:t>
            </w:r>
          </w:p>
        </w:tc>
        <w:tc>
          <w:tcPr>
            <w:tcW w:w="2340" w:type="dxa"/>
          </w:tcPr>
          <w:p>
            <w:pPr/>
            <w:r>
              <w:t xml:space="preserve">−6.1%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Margen de Tecnocare</w:t>
            </w:r>
          </w:p>
        </w:tc>
        <w:tc>
          <w:tcPr>
            <w:tcW w:w="2340" w:type="dxa"/>
          </w:tcPr>
          <w:p>
            <w:pPr/>
            <w:r>
              <w:t xml:space="preserve">33.8%</w:t>
            </w:r>
          </w:p>
        </w:tc>
        <w:tc>
          <w:tcPr>
            <w:tcW w:w="2340" w:type="dxa"/>
          </w:tcPr>
          <w:p>
            <w:pPr/>
            <w:r>
              <w:t xml:space="preserve">25.1%</w:t>
            </w:r>
          </w:p>
        </w:tc>
        <w:tc>
          <w:tcPr>
            <w:tcW w:w="2340" w:type="dxa"/>
          </w:tcPr>
          <w:p>
            <w:pPr/>
            <w:r>
              <w:t xml:space="preserve">33.8%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Resultado</w:t>
            </w:r>
          </w:p>
        </w:tc>
        <w:tc>
          <w:tcPr>
            <w:tcW w:w="2340" w:type="dxa"/>
          </w:tcPr>
          <w:p>
            <w:pPr/>
            <w:r>
              <w:t xml:space="preserve">Viable</w:t>
            </w:r>
          </w:p>
        </w:tc>
        <w:tc>
          <w:tcPr>
            <w:tcW w:w="2340" w:type="dxa"/>
          </w:tcPr>
          <w:p>
            <w:pPr/>
            <w:r>
              <w:t xml:space="preserve">Viable</w:t>
            </w:r>
          </w:p>
        </w:tc>
        <w:tc>
          <w:tcPr>
            <w:tcW w:w="2340" w:type="dxa"/>
          </w:tcPr>
          <w:p>
            <w:pPr/>
            <w:r>
              <w:t xml:space="preserve">No viable</w:t>
            </w:r>
          </w:p>
        </w:tc>
      </w:tr>
    </w:tbl>
    <w:p>
      <w:pPr/>
      <w:r>
        <w:t xml:space="preserve">La contraoferta queda a 0.1 puntos del piso de margen. Cualquier baja adicional en el equipo la saca de la zona. Los escenarios están en la hoja calculadora del Excel.</w:t>
      </w:r>
    </w:p>
    <w:p>
      <w:pPr>
        <w:pStyle w:val="Heading2"/>
      </w:pPr>
      <w:r>
        <w:t xml:space="preserve">7. Qué sigue pendiente (no se supone)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Registro sanitario DB7384E</w:t>
      </w:r>
      <w:r>
        <w:t xml:space="preserve"> y su cobertura en Dent, Woman Care y Vet: [pendiente] verificación en DIGEMID. Bloquea cualquier borrador que lo cite.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Garantía final y ficha técnica</w:t>
      </w:r>
      <w:r>
        <w:t xml:space="preserve">: [pendiente] fabricante.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Costo real de adquisición del equipo</w:t>
      </w:r>
      <w:r>
        <w:t xml:space="preserve">: el valor de Ozonette en el Excel (4,200 USD) es [mock] y debe reemplazarse antes de operar.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Texto legal definitivo del descargo y firma</w:t>
      </w:r>
      <w:r>
        <w:t xml:space="preserve">: los aprueba el asesor.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Tipo de cambio</w:t>
      </w:r>
      <w:r>
        <w:t xml:space="preserve">: se fija a la fecha de envío.</w:t>
      </w:r>
    </w:p>
    <w:p>
      <w:pPr>
        <w:pStyle w:val="Heading2"/>
      </w:pPr>
      <w:r>
        <w:t xml:space="preserve">8. Cómo cambia el dueño los supuestos</w:t>
      </w:r>
    </w:p>
    <w:p>
      <w:pPr/>
      <w:r>
        <w:t xml:space="preserve">El dueño edita el Excel correspondiente (01 a 06). Cualquier cambio recalcula la calculadora (07) y, al regenerar el snapshot, genera una versión nueva de parámetros. Si cambia un supuesto, anota la fecha y el motivo en la columna de justificación. El documento y el Excel deben coincidir.</w:t>
      </w:r>
    </w:p>
    <w:p>
      <w:pPr>
        <w:pStyle w:val="Heading2"/>
      </w:pPr>
      <w:r>
        <w:t xml:space="preserve">9. Paso a JSON, cuando esté aprobado</w:t>
      </w:r>
    </w:p>
    <w:p>
      <w:pPr/>
      <w:r>
        <w:t xml:space="preserve">Los supuestos pasan a parámetros de </w:t>
      </w:r>
      <w:r>
        <w:rPr>
          <w:rStyle w:val="CodeChar"/>
        </w:rPr>
        <w:t xml:space="preserve">rules.json</w:t>
      </w:r>
      <w:r>
        <w:t xml:space="preserve">. Los Excel 01 a 06 se convierten en un snapshot versionado (params_publico y params_restringido). Los escenarios se convierten en casos de prueba del motor. Las fórmulas se implementan en el backend con pruebas. El validador suma tres chequeos: versión no viable, cambio sin justificación y dato del cliente sin fuente.</w:t>
      </w:r>
    </w:p>
    <w:p>
      <w:pPr>
        <w:pStyle w:val="Heading2"/>
      </w:pPr>
      <w:r>
        <w:t xml:space="preserve">Fuentes</w:t>
      </w:r>
    </w:p>
    <w:p>
      <w:pPr/>
      <w:r>
        <w:t xml:space="preserve">RN-001, RN-002, RN-008, RN-024, RN-040, RN-043, RN-044, RN-065; INV-22, INV-30, INV-33 del paquete Módulo 3. Archivos de datos: 01 a 07 de la carpeta mock. Versión anterior: https://claude.ai/artifact/LgB8M1fD3Qzhq7j2r4FEjn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Procedimiento de oferta, contraoferta y zona de acuerdo</dc:title>
  <dc:description>Claude Docs node/c9aa8b2c-6ac3@8 docx-w6</dc:description>
  <cp:revision>8</cp:revision>
</cp:coreProperties>
</file>