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2A78D6"/>
          <w:sz w:val="44"/>
          <w:szCs w:val="44"/>
        </w:rPr>
        <w:t xml:space="preserve">Análisis Exploratorio de Datos</w:t>
      </w:r>
    </w:p>
    <w:p>
      <w:pPr>
        <w:spacing w:after="60"/>
        <w:jc w:val="center"/>
      </w:pPr>
      <w:r>
        <w:rPr>
          <w:color w:val="1A1A19"/>
          <w:sz w:val="26"/>
          <w:szCs w:val="26"/>
        </w:rPr>
        <w:t xml:space="preserve">Proyecto P12 — Postergación del Etiquetado en una Viña Exportadora</w:t>
      </w:r>
    </w:p>
    <w:p>
      <w:pPr>
        <w:spacing w:after="300"/>
        <w:jc w:val="center"/>
      </w:pPr>
      <w:r>
        <w:rPr>
          <w:color w:val="1A1A19"/>
          <w:sz w:val="26"/>
          <w:szCs w:val="26"/>
        </w:rPr>
        <w:t xml:space="preserve">bajo Incertidumbre en la Demanda</w:t>
      </w:r>
    </w:p>
    <w:p>
      <w:pPr>
        <w:spacing w:after="40"/>
        <w:jc w:val="center"/>
      </w:pPr>
      <w:r>
        <w:rPr>
          <w:color w:val="52514E"/>
          <w:sz w:val="22"/>
          <w:szCs w:val="22"/>
        </w:rPr>
        <w:t xml:space="preserve">ICS2122 – Taller de Investigación Operativa (Capstone) · Grupo 8</w:t>
      </w:r>
    </w:p>
    <w:p>
      <w:pPr>
        <w:spacing w:after="40"/>
        <w:jc w:val="center"/>
      </w:pPr>
      <w:r>
        <w:rPr>
          <w:i/>
          <w:iCs/>
          <w:color w:val="52514E"/>
          <w:sz w:val="20"/>
          <w:szCs w:val="20"/>
        </w:rPr>
        <w:t xml:space="preserve">Documento generado a partir de: cargar_datos.py y analisis_exploratorio.py</w:t>
      </w:r>
    </w:p>
    <w:p>
      <w:pPr>
        <w:spacing w:after="500"/>
        <w:jc w:val="center"/>
      </w:pPr>
      <w:r>
        <w:rPr>
          <w:color w:val="52514E"/>
          <w:sz w:val="20"/>
          <w:szCs w:val="20"/>
        </w:rPr>
        <w:t xml:space="preserve">Agosto 2026</w:t>
      </w:r>
    </w:p>
    <w:p>
      <w:pPr>
        <w:spacing w:after="160" w:line="276"/>
      </w:pPr>
      <w:r>
        <w:rPr>
          <w:sz w:val="22"/>
          <w:szCs w:val="22"/>
        </w:rPr>
        <w:t xml:space="preserve">Este documento acompaña la carpeta “Análisis de Datos” dentro de la carpeta compartida del proyecto. Primero explica, paso a paso, qué archivos se crearon para analizar los datos base entregados por el profesor (Anexo A) y qué hace cada uno. Luego presenta el análisis de los resultados obtenidos y las conclusiones que se desprenden de ellos, como insumo para el diseño del modelo de optimización del proyecto.</w:t>
      </w:r>
    </w:p>
    <w:p>
      <w:r>
        <w:br w:type="page"/>
      </w:r>
    </w:p>
    <w:p>
      <w:pPr>
        <w:pStyle w:val="Heading1"/>
        <w:spacing w:after="160" w:before="360"/>
      </w:pPr>
      <w:r>
        <w:t xml:space="preserve">1. Paso a paso: qué se creó y para qué</w:t>
      </w:r>
    </w:p>
    <w:p>
      <w:pPr>
        <w:spacing w:after="160" w:line="276"/>
      </w:pPr>
      <w:r>
        <w:rPr>
          <w:sz w:val="22"/>
          <w:szCs w:val="22"/>
        </w:rPr>
        <w:t xml:space="preserve">Todo el análisis se hizo en Python, siguiendo la preferencia del equipo de mantener este tipo de trabajo reproducible y versionable. Los archivos quedaron organizados dentro de Capstone &gt; Análisis de Datos, con la siguiente estructura:</w:t>
      </w:r>
    </w:p>
    <w:p>
      <w:pPr>
        <w:spacing w:after="80"/>
      </w:pPr>
      <w:r>
        <w:rPr>
          <w:rFonts w:ascii="Consolas" w:cs="Consolas" w:eastAsia="Consolas" w:hAnsi="Consolas"/>
          <w:color w:val="0D5C63"/>
          <w:sz w:val="20"/>
          <w:szCs w:val="20"/>
        </w:rPr>
        <w:t xml:space="preserve">Análisis de Datos/</w:t>
      </w:r>
    </w:p>
    <w:p>
      <w:pPr>
        <w:spacing w:after="80"/>
      </w:pPr>
      <w:r>
        <w:rPr>
          <w:rFonts w:ascii="Consolas" w:cs="Consolas" w:eastAsia="Consolas" w:hAnsi="Consolas"/>
          <w:color w:val="0D5C63"/>
          <w:sz w:val="20"/>
          <w:szCs w:val="20"/>
        </w:rPr>
        <w:t xml:space="preserve">├── data/P12 Anexo A Datos.xlsx      (copia de los datos originales)</w:t>
      </w:r>
    </w:p>
    <w:p>
      <w:pPr>
        <w:spacing w:after="80"/>
      </w:pPr>
      <w:r>
        <w:rPr>
          <w:rFonts w:ascii="Consolas" w:cs="Consolas" w:eastAsia="Consolas" w:hAnsi="Consolas"/>
          <w:color w:val="0D5C63"/>
          <w:sz w:val="20"/>
          <w:szCs w:val="20"/>
        </w:rPr>
        <w:t xml:space="preserve">├── cargar_datos.py                   (lectura y limpieza de cada hoja)</w:t>
      </w:r>
    </w:p>
    <w:p>
      <w:pPr>
        <w:spacing w:after="80"/>
      </w:pPr>
      <w:r>
        <w:rPr>
          <w:rFonts w:ascii="Consolas" w:cs="Consolas" w:eastAsia="Consolas" w:hAnsi="Consolas"/>
          <w:color w:val="0D5C63"/>
          <w:sz w:val="20"/>
          <w:szCs w:val="20"/>
        </w:rPr>
        <w:t xml:space="preserve">├── analisis_exploratorio.py          (validación, cálculos y gráficos)</w:t>
      </w:r>
    </w:p>
    <w:p>
      <w:pPr>
        <w:spacing w:after="80"/>
      </w:pPr>
      <w:r>
        <w:rPr>
          <w:rFonts w:ascii="Consolas" w:cs="Consolas" w:eastAsia="Consolas" w:hAnsi="Consolas"/>
          <w:color w:val="0D5C63"/>
          <w:sz w:val="20"/>
          <w:szCs w:val="20"/>
        </w:rPr>
        <w:t xml:space="preserve">├── requirements.txt</w:t>
      </w:r>
    </w:p>
    <w:p>
      <w:pPr>
        <w:spacing w:after="80"/>
      </w:pPr>
      <w:r>
        <w:rPr>
          <w:rFonts w:ascii="Consolas" w:cs="Consolas" w:eastAsia="Consolas" w:hAnsi="Consolas"/>
          <w:color w:val="0D5C63"/>
          <w:sz w:val="20"/>
          <w:szCs w:val="20"/>
        </w:rPr>
        <w:t xml:space="preserve">├── README.md</w:t>
      </w:r>
    </w:p>
    <w:p>
      <w:pPr>
        <w:spacing w:after="80"/>
      </w:pPr>
      <w:r>
        <w:rPr>
          <w:rFonts w:ascii="Consolas" w:cs="Consolas" w:eastAsia="Consolas" w:hAnsi="Consolas"/>
          <w:color w:val="0D5C63"/>
          <w:sz w:val="20"/>
          <w:szCs w:val="20"/>
        </w:rPr>
        <w:t xml:space="preserve">└── resultados/</w:t>
      </w:r>
    </w:p>
    <w:p>
      <w:pPr>
        <w:spacing w:after="80"/>
      </w:pPr>
      <w:r>
        <w:rPr>
          <w:rFonts w:ascii="Consolas" w:cs="Consolas" w:eastAsia="Consolas" w:hAnsi="Consolas"/>
          <w:color w:val="0D5C63"/>
          <w:sz w:val="20"/>
          <w:szCs w:val="20"/>
        </w:rPr>
        <w:t xml:space="preserve">    ├── tablas/     (7 archivos .csv)</w:t>
      </w:r>
    </w:p>
    <w:p>
      <w:pPr>
        <w:spacing w:after="80"/>
      </w:pPr>
      <w:r>
        <w:rPr>
          <w:rFonts w:ascii="Consolas" w:cs="Consolas" w:eastAsia="Consolas" w:hAnsi="Consolas"/>
          <w:color w:val="0D5C63"/>
          <w:sz w:val="20"/>
          <w:szCs w:val="20"/>
        </w:rPr>
        <w:t xml:space="preserve">    ├── figuras/    (6 archivos .png)</w:t>
      </w:r>
    </w:p>
    <w:p>
      <w:pPr>
        <w:spacing w:after="80"/>
      </w:pPr>
      <w:r>
        <w:rPr>
          <w:rFonts w:ascii="Consolas" w:cs="Consolas" w:eastAsia="Consolas" w:hAnsi="Consolas"/>
          <w:color w:val="0D5C63"/>
          <w:sz w:val="20"/>
          <w:szCs w:val="20"/>
        </w:rPr>
        <w:t xml:space="preserve">    └── resumen_datos.md</w:t>
      </w:r>
    </w:p>
    <w:p>
      <w:pPr>
        <w:pStyle w:val="Heading2"/>
        <w:spacing w:after="120" w:before="280"/>
      </w:pPr>
      <w:r>
        <w:t xml:space="preserve">1.1 data/ — copia de los datos originales</w:t>
      </w:r>
    </w:p>
    <w:p>
      <w:pPr>
        <w:spacing w:after="160" w:line="276"/>
      </w:pPr>
      <w:r>
        <w:rPr>
          <w:sz w:val="22"/>
          <w:szCs w:val="22"/>
        </w:rPr>
        <w:t xml:space="preserve">Se copió tal cual el archivo P12 Anexo A Datos.xlsx (el mismo que está en Capstone - Carpeta Compartida - Datos) a esta subcarpeta, para que el análisis sea autocontenido: si alguien abre solo la carpeta “Análisis de Datos”, no depende de rutas externas. El archivo original no se modifica en ningún paso.</w:t>
      </w:r>
    </w:p>
    <w:p>
      <w:pPr>
        <w:pStyle w:val="Heading2"/>
        <w:spacing w:after="120" w:before="280"/>
      </w:pPr>
      <w:r>
        <w:t xml:space="preserve">1.2 cargar_datos.py — lectura y limpieza de cada hoja</w:t>
      </w:r>
    </w:p>
    <w:p>
      <w:pPr>
        <w:spacing w:after="160" w:line="276"/>
      </w:pPr>
      <w:r>
        <w:rPr>
          <w:sz w:val="22"/>
          <w:szCs w:val="22"/>
        </w:rPr>
        <w:t xml:space="preserve">El Excel del profesor tiene 6 hojas de datos (Configuracion, Productos, Setups_Costos, Arbol, Demanda, Niveles), cada una con su propio formato de encabezados y filas de notas al final. Este archivo define una función de carga por hoja, que devuelve la información ya como tabla limpia (sin títulos ni filas vacías), lista para calcular con ella. Las funciones principales son:</w:t>
      </w:r>
    </w:p>
    <w:p>
      <w:pPr>
        <w:pStyle w:val="ListParagraph"/>
        <w:numPr>
          <w:ilvl w:val="0"/>
          <w:numId w:val="2"/>
        </w:numPr>
        <w:spacing w:after="80"/>
      </w:pPr>
      <w:r>
        <w:rPr>
          <w:sz w:val="22"/>
          <w:szCs w:val="22"/>
        </w:rPr>
        <w:t xml:space="preserve">cargar_configuracion(): parámetros de la línea de envasado (capacidad, estanques, tamaño de botella, horizonte).</w:t>
      </w:r>
    </w:p>
    <w:p>
      <w:pPr>
        <w:pStyle w:val="ListParagraph"/>
        <w:numPr>
          <w:ilvl w:val="0"/>
          <w:numId w:val="2"/>
        </w:numPr>
        <w:spacing w:after="80"/>
      </w:pPr>
      <w:r>
        <w:rPr>
          <w:sz w:val="22"/>
          <w:szCs w:val="22"/>
        </w:rPr>
        <w:t xml:space="preserve">cargar_productos(): vinos, etiquetas admisibles por vino, e inventarios iniciales.</w:t>
      </w:r>
    </w:p>
    <w:p>
      <w:pPr>
        <w:pStyle w:val="ListParagraph"/>
        <w:numPr>
          <w:ilvl w:val="0"/>
          <w:numId w:val="2"/>
        </w:numPr>
        <w:spacing w:after="80"/>
      </w:pPr>
      <w:r>
        <w:rPr>
          <w:sz w:val="22"/>
          <w:szCs w:val="22"/>
        </w:rPr>
        <w:t xml:space="preserve">cargar_setups_costos(): tiempos y costos de set-up, tiempos unitarios de proceso, y costos de inventario/backorder.</w:t>
      </w:r>
    </w:p>
    <w:p>
      <w:pPr>
        <w:pStyle w:val="ListParagraph"/>
        <w:numPr>
          <w:ilvl w:val="0"/>
          <w:numId w:val="2"/>
        </w:numPr>
        <w:spacing w:after="80"/>
      </w:pPr>
      <w:r>
        <w:rPr>
          <w:sz w:val="22"/>
          <w:szCs w:val="22"/>
        </w:rPr>
        <w:t xml:space="preserve">cargar_arbol(): los 11 nodos del árbol de escenarios de demanda, con período, estado (alta/media/baja), nodo antecesor y probabilidades.</w:t>
      </w:r>
    </w:p>
    <w:p>
      <w:pPr>
        <w:pStyle w:val="ListParagraph"/>
        <w:numPr>
          <w:ilvl w:val="0"/>
          <w:numId w:val="2"/>
        </w:numPr>
        <w:spacing w:after="80"/>
      </w:pPr>
      <w:r>
        <w:rPr>
          <w:sz w:val="22"/>
          <w:szCs w:val="22"/>
        </w:rPr>
        <w:t xml:space="preserve">cargar_demanda(): la demanda de cada uno de los 5 productos (vino, etiqueta) en cada nodo, en dos formatos — “wide” (igual al Excel) y “tidy” (una fila por producto-nodo, ya cruzada con período/estado/probabilidad del árbol, que es la forma más cómoda para graficar y modelar).</w:t>
      </w:r>
    </w:p>
    <w:p>
      <w:pPr>
        <w:pStyle w:val="ListParagraph"/>
        <w:numPr>
          <w:ilvl w:val="0"/>
          <w:numId w:val="2"/>
        </w:numPr>
        <w:spacing w:after="80"/>
      </w:pPr>
      <w:r>
        <w:rPr>
          <w:sz w:val="22"/>
          <w:szCs w:val="22"/>
        </w:rPr>
        <w:t xml:space="preserve">cargar_niveles(): los niveles de referencia sugeridos por el profesor para el análisis de sensibilidad (variabilidad, capacidad, etiquetas postergables, correlación).</w:t>
      </w:r>
    </w:p>
    <w:p>
      <w:pPr>
        <w:pStyle w:val="ListParagraph"/>
        <w:numPr>
          <w:ilvl w:val="0"/>
          <w:numId w:val="2"/>
        </w:numPr>
        <w:spacing w:after="80"/>
      </w:pPr>
      <w:r>
        <w:rPr>
          <w:sz w:val="22"/>
          <w:szCs w:val="22"/>
        </w:rPr>
        <w:t xml:space="preserve">cargar_todo(): junta todo lo anterior en un solo diccionario de tablas, que es lo que usa el script de análisis y lo que se puede reutilizar después para armar el modelo de optimización.</w:t>
      </w:r>
    </w:p>
    <w:p>
      <w:pPr>
        <w:pStyle w:val="Heading2"/>
        <w:spacing w:after="120" w:before="280"/>
      </w:pPr>
      <w:r>
        <w:t xml:space="preserve">1.3 analisis_exploratorio.py — validación, cálculos y gráficos</w:t>
      </w:r>
    </w:p>
    <w:p>
      <w:pPr>
        <w:spacing w:after="160" w:line="276"/>
      </w:pPr>
      <w:r>
        <w:rPr>
          <w:sz w:val="22"/>
          <w:szCs w:val="22"/>
        </w:rPr>
        <w:t xml:space="preserve">Este es el script principal. Al ejecutarlo, hace lo siguiente en orden:</w:t>
      </w:r>
    </w:p>
    <w:p>
      <w:pPr>
        <w:pStyle w:val="ListParagraph"/>
        <w:numPr>
          <w:ilvl w:val="0"/>
          <w:numId w:val="3"/>
        </w:numPr>
        <w:spacing w:after="80"/>
      </w:pPr>
      <w:r>
        <w:rPr>
          <w:sz w:val="22"/>
          <w:szCs w:val="22"/>
        </w:rPr>
        <w:t xml:space="preserve">Carga todos los datos usando cargar_datos.py.</w:t>
      </w:r>
    </w:p>
    <w:p>
      <w:pPr>
        <w:pStyle w:val="ListParagraph"/>
        <w:numPr>
          <w:ilvl w:val="0"/>
          <w:numId w:val="3"/>
        </w:numPr>
        <w:spacing w:after="80"/>
      </w:pPr>
      <w:r>
        <w:rPr>
          <w:sz w:val="22"/>
          <w:szCs w:val="22"/>
        </w:rPr>
        <w:t xml:space="preserve">Valida el árbol de escenarios: revisa que las probabilidades condicionales de los hijos de cada nodo sumen 1, y que las probabilidades de los 6 nodos finales (hojas) sumen 1 en total.</w:t>
      </w:r>
    </w:p>
    <w:p>
      <w:pPr>
        <w:pStyle w:val="ListParagraph"/>
        <w:numPr>
          <w:ilvl w:val="0"/>
          <w:numId w:val="3"/>
        </w:numPr>
        <w:spacing w:after="80"/>
      </w:pPr>
      <w:r>
        <w:rPr>
          <w:sz w:val="22"/>
          <w:szCs w:val="22"/>
        </w:rPr>
        <w:t xml:space="preserve">Calcula estadística descriptiva de la demanda de cada producto a través de los 11 nodos (media, desviación estándar, mínimo, máximo, coeficiente de variación) y la demanda esperada de cada producto, ponderando la demanda de cada nodo final por su probabilidad.</w:t>
      </w:r>
    </w:p>
    <w:p>
      <w:pPr>
        <w:pStyle w:val="ListParagraph"/>
        <w:numPr>
          <w:ilvl w:val="0"/>
          <w:numId w:val="3"/>
        </w:numPr>
        <w:spacing w:after="80"/>
      </w:pPr>
      <w:r>
        <w:rPr>
          <w:sz w:val="22"/>
          <w:szCs w:val="22"/>
        </w:rPr>
        <w:t xml:space="preserve">Calcula la matriz de correlación de demanda entre los 5 productos, a través de los nodos del árbol.</w:t>
      </w:r>
    </w:p>
    <w:p>
      <w:pPr>
        <w:pStyle w:val="ListParagraph"/>
        <w:numPr>
          <w:ilvl w:val="0"/>
          <w:numId w:val="3"/>
        </w:numPr>
        <w:spacing w:after="80"/>
      </w:pPr>
      <w:r>
        <w:rPr>
          <w:sz w:val="22"/>
          <w:szCs w:val="22"/>
        </w:rPr>
        <w:t xml:space="preserve">Hace un chequeo de capacidad nodo a nodo: para cada uno de los 11 nodos, estima las horas de línea que se necesitarían si todo se produce con embotellado y etiquetado acoplados (el escenario que menos aprovecha la postergación), y las compara con las 84 horas disponibles por período.</w:t>
      </w:r>
    </w:p>
    <w:p>
      <w:pPr>
        <w:pStyle w:val="ListParagraph"/>
        <w:numPr>
          <w:ilvl w:val="0"/>
          <w:numId w:val="3"/>
        </w:numPr>
        <w:spacing w:after="80"/>
      </w:pPr>
      <w:r>
        <w:rPr>
          <w:sz w:val="22"/>
          <w:szCs w:val="22"/>
        </w:rPr>
        <w:t xml:space="preserve">Exporta todas las tablas a resultados/tablas (.csv) y todos los gráficos a resultados/figuras (.png), y escribe un resumen en resultados/resumen_datos.md.</w:t>
      </w:r>
    </w:p>
    <w:p>
      <w:pPr>
        <w:spacing w:after="160" w:line="276"/>
      </w:pPr>
      <w:r>
        <w:rPr>
          <w:sz w:val="22"/>
          <w:szCs w:val="22"/>
        </w:rPr>
        <w:t xml:space="preserve">El script se puede volver a correr en cualquier momento con “python3 analisis_exploratorio.py” (instrucciones completas en README.md). Si el profesor actualiza el Excel con nuevos valores, basta con reemplazar el archivo en data/ y volver a ejecutar: todo se regenera automáticamente.</w:t>
      </w:r>
    </w:p>
    <w:p>
      <w:pPr>
        <w:pStyle w:val="Heading2"/>
        <w:spacing w:after="120" w:before="280"/>
      </w:pPr>
      <w:r>
        <w:t xml:space="preserve">1.4 resultados/ — lo que queda después de correr el análisis</w:t>
      </w:r>
    </w:p>
    <w:p>
      <w:pPr>
        <w:spacing w:after="160" w:line="276"/>
      </w:pPr>
      <w:r>
        <w:rPr>
          <w:sz w:val="22"/>
          <w:szCs w:val="22"/>
        </w:rPr>
        <w:t xml:space="preserve">La carpeta resultados/tablas contiene las tablas calculadas en formato .csv (demanda en formato tidy, árbol de escenarios, resumen estadístico por producto, matriz de correlación, chequeo de capacidad, configuración y niveles de referencia). La carpeta resultados/figuras contiene 6 gráficos en .png, que se muestran y explican en la sección 2. El archivo resumen_datos.md reúne los hallazgos principales en texto, y es la base de este mismo documento.</w:t>
      </w:r>
    </w:p>
    <w:p>
      <w:r>
        <w:br w:type="page"/>
      </w:r>
    </w:p>
    <w:p>
      <w:pPr>
        <w:pStyle w:val="Heading1"/>
        <w:spacing w:after="160" w:before="360"/>
      </w:pPr>
      <w:r>
        <w:t xml:space="preserve">2. Análisis de los resultados</w:t>
      </w:r>
    </w:p>
    <w:p>
      <w:pPr>
        <w:pStyle w:val="Heading2"/>
        <w:spacing w:after="120" w:before="280"/>
      </w:pPr>
      <w:r>
        <w:t xml:space="preserve">2.1 Validación del árbol de escenarios</w:t>
      </w:r>
    </w:p>
    <w:p>
      <w:pPr>
        <w:spacing w:after="160" w:line="276"/>
      </w:pPr>
      <w:r>
        <w:rPr>
          <w:sz w:val="22"/>
          <w:szCs w:val="22"/>
        </w:rPr>
        <w:t xml:space="preserve">El árbol tiene 3 períodos y 11 nodos: 1 nodo raíz (período 1), 3 nodos en el período 2, y 7 nodos en el período 3. Se verificó que las probabilidades condicionales de los hijos de cada nodo padre suman exactamente 1 (nodos 1, 2, 3 y 4), y que las probabilidades de los 6 nodos finales (5 al 11, exceptuando el 2 y 3 que también tienen hijos) suman 1 en total. Ambas validaciones dieron correctas, por lo que los datos de probabilidad del árbol son consistentes y se pueden usar directamente como están, sin necesidad de normalizarlos.</w:t>
      </w:r>
    </w:p>
    <w:p>
      <w:pPr>
        <w:spacing w:after="8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543300"/>
                    </a:xfrm>
                    <a:prstGeom prst="rect">
                      <a:avLst/>
                    </a:prstGeom>
                  </pic:spPr>
                </pic:pic>
              </a:graphicData>
            </a:graphic>
          </wp:inline>
        </w:drawing>
      </w:r>
    </w:p>
    <w:p>
      <w:pPr>
        <w:spacing w:after="280"/>
        <w:jc w:val="center"/>
      </w:pPr>
      <w:r>
        <w:rPr>
          <w:i/>
          <w:iCs/>
          <w:color w:val="52514E"/>
          <w:sz w:val="19"/>
          <w:szCs w:val="19"/>
        </w:rPr>
        <w:t xml:space="preserve">Figura 1. Árbol de escenarios de demanda (11 nodos). El color indica el estado de demanda del nodo (baja / media / alta).</w:t>
      </w:r>
    </w:p>
    <w:p>
      <w:pPr>
        <w:pStyle w:val="Heading2"/>
        <w:spacing w:after="120" w:before="280"/>
      </w:pPr>
      <w:r>
        <w:t xml:space="preserve">2.2 Demanda por producto: nivel y variabilidad</w:t>
      </w:r>
    </w:p>
    <w:p>
      <w:pPr>
        <w:spacing w:after="160" w:line="276"/>
      </w:pPr>
      <w:r>
        <w:rPr>
          <w:sz w:val="22"/>
          <w:szCs w:val="22"/>
        </w:rPr>
        <w:t xml:space="preserve">La siguiente tabla resume la demanda de cada producto a través de los 11 nodos del árbol, y la demanda esperada (ponderada por la probabilidad de cada nodo final):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600"/>
        <w:gridCol w:w="900"/>
        <w:gridCol w:w="1300"/>
        <w:gridCol w:w="1300"/>
        <w:gridCol w:w="1700"/>
      </w:tblGrid>
      <w:tr>
        <w:trPr>
          <w:tblHeader/>
        </w:trPr>
        <w:tc>
          <w:tcPr>
            <w:tcW w:type="dxa" w:w="1600"/>
            <w:shd w:fill="2A78D6" w:val="clear"/>
            <w:tcMar>
              <w:top w:type="dxa" w:w="60"/>
              <w:left w:type="dxa" w:w="100"/>
              <w:bottom w:type="dxa" w:w="60"/>
              <w:right w:type="dxa" w:w="100"/>
            </w:tcMar>
          </w:tcPr>
          <w:p>
            <w:r>
              <w:rPr>
                <w:b/>
                <w:bCs/>
                <w:color w:val="FFFFFF"/>
                <w:sz w:val="20"/>
                <w:szCs w:val="20"/>
              </w:rPr>
              <w:t xml:space="preserve">Producto</w:t>
            </w:r>
          </w:p>
        </w:tc>
        <w:tc>
          <w:tcPr>
            <w:tcW w:type="dxa" w:w="1300"/>
            <w:shd w:fill="2A78D6" w:val="clear"/>
            <w:tcMar>
              <w:top w:type="dxa" w:w="60"/>
              <w:left w:type="dxa" w:w="100"/>
              <w:bottom w:type="dxa" w:w="60"/>
              <w:right w:type="dxa" w:w="100"/>
            </w:tcMar>
          </w:tcPr>
          <w:p>
            <w:r>
              <w:rPr>
                <w:b/>
                <w:bCs/>
                <w:color w:val="FFFFFF"/>
                <w:sz w:val="20"/>
                <w:szCs w:val="20"/>
              </w:rPr>
              <w:t xml:space="preserve">Media</w:t>
            </w:r>
          </w:p>
        </w:tc>
        <w:tc>
          <w:tcPr>
            <w:tcW w:type="dxa" w:w="1600"/>
            <w:shd w:fill="2A78D6" w:val="clear"/>
            <w:tcMar>
              <w:top w:type="dxa" w:w="60"/>
              <w:left w:type="dxa" w:w="100"/>
              <w:bottom w:type="dxa" w:w="60"/>
              <w:right w:type="dxa" w:w="100"/>
            </w:tcMar>
          </w:tcPr>
          <w:p>
            <w:r>
              <w:rPr>
                <w:b/>
                <w:bCs/>
                <w:color w:val="FFFFFF"/>
                <w:sz w:val="20"/>
                <w:szCs w:val="20"/>
              </w:rPr>
              <w:t xml:space="preserve">Desv. estándar</w:t>
            </w:r>
          </w:p>
        </w:tc>
        <w:tc>
          <w:tcPr>
            <w:tcW w:type="dxa" w:w="900"/>
            <w:shd w:fill="2A78D6" w:val="clear"/>
            <w:tcMar>
              <w:top w:type="dxa" w:w="60"/>
              <w:left w:type="dxa" w:w="100"/>
              <w:bottom w:type="dxa" w:w="60"/>
              <w:right w:type="dxa" w:w="100"/>
            </w:tcMar>
          </w:tcPr>
          <w:p>
            <w:r>
              <w:rPr>
                <w:b/>
                <w:bCs/>
                <w:color w:val="FFFFFF"/>
                <w:sz w:val="20"/>
                <w:szCs w:val="20"/>
              </w:rPr>
              <w:t xml:space="preserve">CV</w:t>
            </w:r>
          </w:p>
        </w:tc>
        <w:tc>
          <w:tcPr>
            <w:tcW w:type="dxa" w:w="1300"/>
            <w:shd w:fill="2A78D6" w:val="clear"/>
            <w:tcMar>
              <w:top w:type="dxa" w:w="60"/>
              <w:left w:type="dxa" w:w="100"/>
              <w:bottom w:type="dxa" w:w="60"/>
              <w:right w:type="dxa" w:w="100"/>
            </w:tcMar>
          </w:tcPr>
          <w:p>
            <w:r>
              <w:rPr>
                <w:b/>
                <w:bCs/>
                <w:color w:val="FFFFFF"/>
                <w:sz w:val="20"/>
                <w:szCs w:val="20"/>
              </w:rPr>
              <w:t xml:space="preserve">Mínimo</w:t>
            </w:r>
          </w:p>
        </w:tc>
        <w:tc>
          <w:tcPr>
            <w:tcW w:type="dxa" w:w="1300"/>
            <w:shd w:fill="2A78D6" w:val="clear"/>
            <w:tcMar>
              <w:top w:type="dxa" w:w="60"/>
              <w:left w:type="dxa" w:w="100"/>
              <w:bottom w:type="dxa" w:w="60"/>
              <w:right w:type="dxa" w:w="100"/>
            </w:tcMar>
          </w:tcPr>
          <w:p>
            <w:r>
              <w:rPr>
                <w:b/>
                <w:bCs/>
                <w:color w:val="FFFFFF"/>
                <w:sz w:val="20"/>
                <w:szCs w:val="20"/>
              </w:rPr>
              <w:t xml:space="preserve">Máximo</w:t>
            </w:r>
          </w:p>
        </w:tc>
        <w:tc>
          <w:tcPr>
            <w:tcW w:type="dxa" w:w="1700"/>
            <w:shd w:fill="2A78D6" w:val="clear"/>
            <w:tcMar>
              <w:top w:type="dxa" w:w="60"/>
              <w:left w:type="dxa" w:w="100"/>
              <w:bottom w:type="dxa" w:w="60"/>
              <w:right w:type="dxa" w:w="100"/>
            </w:tcMar>
          </w:tcPr>
          <w:p>
            <w:r>
              <w:rPr>
                <w:b/>
                <w:bCs/>
                <w:color w:val="FFFFFF"/>
                <w:sz w:val="20"/>
                <w:szCs w:val="20"/>
              </w:rPr>
              <w:t xml:space="preserve">Demanda esperada</w:t>
            </w:r>
          </w:p>
        </w:tc>
      </w:tr>
      <w:tr>
        <w:tc>
          <w:tcPr>
            <w:tcW w:type="dxa" w:w="1600"/>
            <w:tcMar>
              <w:top w:type="dxa" w:w="60"/>
              <w:left w:type="dxa" w:w="100"/>
              <w:bottom w:type="dxa" w:w="60"/>
              <w:right w:type="dxa" w:w="100"/>
            </w:tcMar>
          </w:tcPr>
          <w:p>
            <w:r>
              <w:rPr>
                <w:b w:val="false"/>
                <w:bCs w:val="false"/>
                <w:color w:val="1A1A19"/>
                <w:sz w:val="20"/>
                <w:szCs w:val="20"/>
              </w:rPr>
              <w:t xml:space="preserve">(1,1)</w:t>
            </w:r>
          </w:p>
        </w:tc>
        <w:tc>
          <w:tcPr>
            <w:tcW w:type="dxa" w:w="1300"/>
            <w:tcMar>
              <w:top w:type="dxa" w:w="60"/>
              <w:left w:type="dxa" w:w="100"/>
              <w:bottom w:type="dxa" w:w="60"/>
              <w:right w:type="dxa" w:w="100"/>
            </w:tcMar>
          </w:tcPr>
          <w:p>
            <w:r>
              <w:rPr>
                <w:b w:val="false"/>
                <w:bCs w:val="false"/>
                <w:color w:val="1A1A19"/>
                <w:sz w:val="20"/>
                <w:szCs w:val="20"/>
              </w:rPr>
              <w:t xml:space="preserve">35.643</w:t>
            </w:r>
          </w:p>
        </w:tc>
        <w:tc>
          <w:tcPr>
            <w:tcW w:type="dxa" w:w="1600"/>
            <w:tcMar>
              <w:top w:type="dxa" w:w="60"/>
              <w:left w:type="dxa" w:w="100"/>
              <w:bottom w:type="dxa" w:w="60"/>
              <w:right w:type="dxa" w:w="100"/>
            </w:tcMar>
          </w:tcPr>
          <w:p>
            <w:r>
              <w:rPr>
                <w:b w:val="false"/>
                <w:bCs w:val="false"/>
                <w:color w:val="1A1A19"/>
                <w:sz w:val="20"/>
                <w:szCs w:val="20"/>
              </w:rPr>
              <w:t xml:space="preserve">21.029</w:t>
            </w:r>
          </w:p>
        </w:tc>
        <w:tc>
          <w:tcPr>
            <w:tcW w:type="dxa" w:w="900"/>
            <w:tcMar>
              <w:top w:type="dxa" w:w="60"/>
              <w:left w:type="dxa" w:w="100"/>
              <w:bottom w:type="dxa" w:w="60"/>
              <w:right w:type="dxa" w:w="100"/>
            </w:tcMar>
          </w:tcPr>
          <w:p>
            <w:r>
              <w:rPr>
                <w:b w:val="false"/>
                <w:bCs w:val="false"/>
                <w:color w:val="1A1A19"/>
                <w:sz w:val="20"/>
                <w:szCs w:val="20"/>
              </w:rPr>
              <w:t xml:space="preserve">0,590</w:t>
            </w:r>
          </w:p>
        </w:tc>
        <w:tc>
          <w:tcPr>
            <w:tcW w:type="dxa" w:w="1300"/>
            <w:tcMar>
              <w:top w:type="dxa" w:w="60"/>
              <w:left w:type="dxa" w:w="100"/>
              <w:bottom w:type="dxa" w:w="60"/>
              <w:right w:type="dxa" w:w="100"/>
            </w:tcMar>
          </w:tcPr>
          <w:p>
            <w:r>
              <w:rPr>
                <w:b w:val="false"/>
                <w:bCs w:val="false"/>
                <w:color w:val="1A1A19"/>
                <w:sz w:val="20"/>
                <w:szCs w:val="20"/>
              </w:rPr>
              <w:t xml:space="preserve">10.426</w:t>
            </w:r>
          </w:p>
        </w:tc>
        <w:tc>
          <w:tcPr>
            <w:tcW w:type="dxa" w:w="1300"/>
            <w:tcMar>
              <w:top w:type="dxa" w:w="60"/>
              <w:left w:type="dxa" w:w="100"/>
              <w:bottom w:type="dxa" w:w="60"/>
              <w:right w:type="dxa" w:w="100"/>
            </w:tcMar>
          </w:tcPr>
          <w:p>
            <w:r>
              <w:rPr>
                <w:b w:val="false"/>
                <w:bCs w:val="false"/>
                <w:color w:val="1A1A19"/>
                <w:sz w:val="20"/>
                <w:szCs w:val="20"/>
              </w:rPr>
              <w:t xml:space="preserve">81.856</w:t>
            </w:r>
          </w:p>
        </w:tc>
        <w:tc>
          <w:tcPr>
            <w:tcW w:type="dxa" w:w="1700"/>
            <w:tcMar>
              <w:top w:type="dxa" w:w="60"/>
              <w:left w:type="dxa" w:w="100"/>
              <w:bottom w:type="dxa" w:w="60"/>
              <w:right w:type="dxa" w:w="100"/>
            </w:tcMar>
          </w:tcPr>
          <w:p>
            <w:r>
              <w:rPr>
                <w:b w:val="false"/>
                <w:bCs w:val="false"/>
                <w:color w:val="1A1A19"/>
                <w:sz w:val="20"/>
                <w:szCs w:val="20"/>
              </w:rPr>
              <w:t xml:space="preserve">40.665</w:t>
            </w:r>
          </w:p>
        </w:tc>
      </w:tr>
      <w:tr>
        <w:tc>
          <w:tcPr>
            <w:tcW w:type="dxa" w:w="1600"/>
            <w:shd w:fill="F2F2F0" w:val="clear"/>
            <w:tcMar>
              <w:top w:type="dxa" w:w="60"/>
              <w:left w:type="dxa" w:w="100"/>
              <w:bottom w:type="dxa" w:w="60"/>
              <w:right w:type="dxa" w:w="100"/>
            </w:tcMar>
          </w:tcPr>
          <w:p>
            <w:r>
              <w:rPr>
                <w:b w:val="false"/>
                <w:bCs w:val="false"/>
                <w:color w:val="1A1A19"/>
                <w:sz w:val="20"/>
                <w:szCs w:val="20"/>
              </w:rPr>
              <w:t xml:space="preserve">(1,2)</w:t>
            </w:r>
          </w:p>
        </w:tc>
        <w:tc>
          <w:tcPr>
            <w:tcW w:type="dxa" w:w="1300"/>
            <w:shd w:fill="F2F2F0" w:val="clear"/>
            <w:tcMar>
              <w:top w:type="dxa" w:w="60"/>
              <w:left w:type="dxa" w:w="100"/>
              <w:bottom w:type="dxa" w:w="60"/>
              <w:right w:type="dxa" w:w="100"/>
            </w:tcMar>
          </w:tcPr>
          <w:p>
            <w:r>
              <w:rPr>
                <w:b w:val="false"/>
                <w:bCs w:val="false"/>
                <w:color w:val="1A1A19"/>
                <w:sz w:val="20"/>
                <w:szCs w:val="20"/>
              </w:rPr>
              <w:t xml:space="preserve">32.564</w:t>
            </w:r>
          </w:p>
        </w:tc>
        <w:tc>
          <w:tcPr>
            <w:tcW w:type="dxa" w:w="1600"/>
            <w:shd w:fill="F2F2F0" w:val="clear"/>
            <w:tcMar>
              <w:top w:type="dxa" w:w="60"/>
              <w:left w:type="dxa" w:w="100"/>
              <w:bottom w:type="dxa" w:w="60"/>
              <w:right w:type="dxa" w:w="100"/>
            </w:tcMar>
          </w:tcPr>
          <w:p>
            <w:r>
              <w:rPr>
                <w:b w:val="false"/>
                <w:bCs w:val="false"/>
                <w:color w:val="1A1A19"/>
                <w:sz w:val="20"/>
                <w:szCs w:val="20"/>
              </w:rPr>
              <w:t xml:space="preserve">13.172</w:t>
            </w:r>
          </w:p>
        </w:tc>
        <w:tc>
          <w:tcPr>
            <w:tcW w:type="dxa" w:w="900"/>
            <w:shd w:fill="F2F2F0" w:val="clear"/>
            <w:tcMar>
              <w:top w:type="dxa" w:w="60"/>
              <w:left w:type="dxa" w:w="100"/>
              <w:bottom w:type="dxa" w:w="60"/>
              <w:right w:type="dxa" w:w="100"/>
            </w:tcMar>
          </w:tcPr>
          <w:p>
            <w:r>
              <w:rPr>
                <w:b w:val="false"/>
                <w:bCs w:val="false"/>
                <w:color w:val="1A1A19"/>
                <w:sz w:val="20"/>
                <w:szCs w:val="20"/>
              </w:rPr>
              <w:t xml:space="preserve">0,404</w:t>
            </w:r>
          </w:p>
        </w:tc>
        <w:tc>
          <w:tcPr>
            <w:tcW w:type="dxa" w:w="1300"/>
            <w:shd w:fill="F2F2F0" w:val="clear"/>
            <w:tcMar>
              <w:top w:type="dxa" w:w="60"/>
              <w:left w:type="dxa" w:w="100"/>
              <w:bottom w:type="dxa" w:w="60"/>
              <w:right w:type="dxa" w:w="100"/>
            </w:tcMar>
          </w:tcPr>
          <w:p>
            <w:r>
              <w:rPr>
                <w:b w:val="false"/>
                <w:bCs w:val="false"/>
                <w:color w:val="1A1A19"/>
                <w:sz w:val="20"/>
                <w:szCs w:val="20"/>
              </w:rPr>
              <w:t xml:space="preserve">15.184</w:t>
            </w:r>
          </w:p>
        </w:tc>
        <w:tc>
          <w:tcPr>
            <w:tcW w:type="dxa" w:w="1300"/>
            <w:shd w:fill="F2F2F0" w:val="clear"/>
            <w:tcMar>
              <w:top w:type="dxa" w:w="60"/>
              <w:left w:type="dxa" w:w="100"/>
              <w:bottom w:type="dxa" w:w="60"/>
              <w:right w:type="dxa" w:w="100"/>
            </w:tcMar>
          </w:tcPr>
          <w:p>
            <w:r>
              <w:rPr>
                <w:b w:val="false"/>
                <w:bCs w:val="false"/>
                <w:color w:val="1A1A19"/>
                <w:sz w:val="20"/>
                <w:szCs w:val="20"/>
              </w:rPr>
              <w:t xml:space="preserve">57.965</w:t>
            </w:r>
          </w:p>
        </w:tc>
        <w:tc>
          <w:tcPr>
            <w:tcW w:type="dxa" w:w="1700"/>
            <w:shd w:fill="F2F2F0" w:val="clear"/>
            <w:tcMar>
              <w:top w:type="dxa" w:w="60"/>
              <w:left w:type="dxa" w:w="100"/>
              <w:bottom w:type="dxa" w:w="60"/>
              <w:right w:type="dxa" w:w="100"/>
            </w:tcMar>
          </w:tcPr>
          <w:p>
            <w:r>
              <w:rPr>
                <w:b w:val="false"/>
                <w:bCs w:val="false"/>
                <w:color w:val="1A1A19"/>
                <w:sz w:val="20"/>
                <w:szCs w:val="20"/>
              </w:rPr>
              <w:t xml:space="preserve">33.451</w:t>
            </w:r>
          </w:p>
        </w:tc>
      </w:tr>
      <w:tr>
        <w:tc>
          <w:tcPr>
            <w:tcW w:type="dxa" w:w="1600"/>
            <w:tcMar>
              <w:top w:type="dxa" w:w="60"/>
              <w:left w:type="dxa" w:w="100"/>
              <w:bottom w:type="dxa" w:w="60"/>
              <w:right w:type="dxa" w:w="100"/>
            </w:tcMar>
          </w:tcPr>
          <w:p>
            <w:r>
              <w:rPr>
                <w:b w:val="false"/>
                <w:bCs w:val="false"/>
                <w:color w:val="1A1A19"/>
                <w:sz w:val="20"/>
                <w:szCs w:val="20"/>
              </w:rPr>
              <w:t xml:space="preserve">(1,3)</w:t>
            </w:r>
          </w:p>
        </w:tc>
        <w:tc>
          <w:tcPr>
            <w:tcW w:type="dxa" w:w="1300"/>
            <w:tcMar>
              <w:top w:type="dxa" w:w="60"/>
              <w:left w:type="dxa" w:w="100"/>
              <w:bottom w:type="dxa" w:w="60"/>
              <w:right w:type="dxa" w:w="100"/>
            </w:tcMar>
          </w:tcPr>
          <w:p>
            <w:r>
              <w:rPr>
                <w:b w:val="false"/>
                <w:bCs w:val="false"/>
                <w:color w:val="1A1A19"/>
                <w:sz w:val="20"/>
                <w:szCs w:val="20"/>
              </w:rPr>
              <w:t xml:space="preserve">19.631</w:t>
            </w:r>
          </w:p>
        </w:tc>
        <w:tc>
          <w:tcPr>
            <w:tcW w:type="dxa" w:w="1600"/>
            <w:tcMar>
              <w:top w:type="dxa" w:w="60"/>
              <w:left w:type="dxa" w:w="100"/>
              <w:bottom w:type="dxa" w:w="60"/>
              <w:right w:type="dxa" w:w="100"/>
            </w:tcMar>
          </w:tcPr>
          <w:p>
            <w:r>
              <w:rPr>
                <w:b w:val="false"/>
                <w:bCs w:val="false"/>
                <w:color w:val="1A1A19"/>
                <w:sz w:val="20"/>
                <w:szCs w:val="20"/>
              </w:rPr>
              <w:t xml:space="preserve">10.955</w:t>
            </w:r>
          </w:p>
        </w:tc>
        <w:tc>
          <w:tcPr>
            <w:tcW w:type="dxa" w:w="900"/>
            <w:tcMar>
              <w:top w:type="dxa" w:w="60"/>
              <w:left w:type="dxa" w:w="100"/>
              <w:bottom w:type="dxa" w:w="60"/>
              <w:right w:type="dxa" w:w="100"/>
            </w:tcMar>
          </w:tcPr>
          <w:p>
            <w:r>
              <w:rPr>
                <w:b w:val="false"/>
                <w:bCs w:val="false"/>
                <w:color w:val="1A1A19"/>
                <w:sz w:val="20"/>
                <w:szCs w:val="20"/>
              </w:rPr>
              <w:t xml:space="preserve">0,558</w:t>
            </w:r>
          </w:p>
        </w:tc>
        <w:tc>
          <w:tcPr>
            <w:tcW w:type="dxa" w:w="1300"/>
            <w:tcMar>
              <w:top w:type="dxa" w:w="60"/>
              <w:left w:type="dxa" w:w="100"/>
              <w:bottom w:type="dxa" w:w="60"/>
              <w:right w:type="dxa" w:w="100"/>
            </w:tcMar>
          </w:tcPr>
          <w:p>
            <w:r>
              <w:rPr>
                <w:b w:val="false"/>
                <w:bCs w:val="false"/>
                <w:color w:val="1A1A19"/>
                <w:sz w:val="20"/>
                <w:szCs w:val="20"/>
              </w:rPr>
              <w:t xml:space="preserve">4.920</w:t>
            </w:r>
          </w:p>
        </w:tc>
        <w:tc>
          <w:tcPr>
            <w:tcW w:type="dxa" w:w="1300"/>
            <w:tcMar>
              <w:top w:type="dxa" w:w="60"/>
              <w:left w:type="dxa" w:w="100"/>
              <w:bottom w:type="dxa" w:w="60"/>
              <w:right w:type="dxa" w:w="100"/>
            </w:tcMar>
          </w:tcPr>
          <w:p>
            <w:r>
              <w:rPr>
                <w:b w:val="false"/>
                <w:bCs w:val="false"/>
                <w:color w:val="1A1A19"/>
                <w:sz w:val="20"/>
                <w:szCs w:val="20"/>
              </w:rPr>
              <w:t xml:space="preserve">38.150</w:t>
            </w:r>
          </w:p>
        </w:tc>
        <w:tc>
          <w:tcPr>
            <w:tcW w:type="dxa" w:w="1700"/>
            <w:tcMar>
              <w:top w:type="dxa" w:w="60"/>
              <w:left w:type="dxa" w:w="100"/>
              <w:bottom w:type="dxa" w:w="60"/>
              <w:right w:type="dxa" w:w="100"/>
            </w:tcMar>
          </w:tcPr>
          <w:p>
            <w:r>
              <w:rPr>
                <w:b w:val="false"/>
                <w:bCs w:val="false"/>
                <w:color w:val="1A1A19"/>
                <w:sz w:val="20"/>
                <w:szCs w:val="20"/>
              </w:rPr>
              <w:t xml:space="preserve">16.901</w:t>
            </w:r>
          </w:p>
        </w:tc>
      </w:tr>
      <w:tr>
        <w:tc>
          <w:tcPr>
            <w:tcW w:type="dxa" w:w="1600"/>
            <w:shd w:fill="F2F2F0" w:val="clear"/>
            <w:tcMar>
              <w:top w:type="dxa" w:w="60"/>
              <w:left w:type="dxa" w:w="100"/>
              <w:bottom w:type="dxa" w:w="60"/>
              <w:right w:type="dxa" w:w="100"/>
            </w:tcMar>
          </w:tcPr>
          <w:p>
            <w:r>
              <w:rPr>
                <w:b w:val="false"/>
                <w:bCs w:val="false"/>
                <w:color w:val="1A1A19"/>
                <w:sz w:val="20"/>
                <w:szCs w:val="20"/>
              </w:rPr>
              <w:t xml:space="preserve">(2,1)</w:t>
            </w:r>
          </w:p>
        </w:tc>
        <w:tc>
          <w:tcPr>
            <w:tcW w:type="dxa" w:w="1300"/>
            <w:shd w:fill="F2F2F0" w:val="clear"/>
            <w:tcMar>
              <w:top w:type="dxa" w:w="60"/>
              <w:left w:type="dxa" w:w="100"/>
              <w:bottom w:type="dxa" w:w="60"/>
              <w:right w:type="dxa" w:w="100"/>
            </w:tcMar>
          </w:tcPr>
          <w:p>
            <w:r>
              <w:rPr>
                <w:b w:val="false"/>
                <w:bCs w:val="false"/>
                <w:color w:val="1A1A19"/>
                <w:sz w:val="20"/>
                <w:szCs w:val="20"/>
              </w:rPr>
              <w:t xml:space="preserve">25.911</w:t>
            </w:r>
          </w:p>
        </w:tc>
        <w:tc>
          <w:tcPr>
            <w:tcW w:type="dxa" w:w="1600"/>
            <w:shd w:fill="F2F2F0" w:val="clear"/>
            <w:tcMar>
              <w:top w:type="dxa" w:w="60"/>
              <w:left w:type="dxa" w:w="100"/>
              <w:bottom w:type="dxa" w:w="60"/>
              <w:right w:type="dxa" w:w="100"/>
            </w:tcMar>
          </w:tcPr>
          <w:p>
            <w:r>
              <w:rPr>
                <w:b w:val="false"/>
                <w:bCs w:val="false"/>
                <w:color w:val="1A1A19"/>
                <w:sz w:val="20"/>
                <w:szCs w:val="20"/>
              </w:rPr>
              <w:t xml:space="preserve">8.606</w:t>
            </w:r>
          </w:p>
        </w:tc>
        <w:tc>
          <w:tcPr>
            <w:tcW w:type="dxa" w:w="900"/>
            <w:shd w:fill="F2F2F0" w:val="clear"/>
            <w:tcMar>
              <w:top w:type="dxa" w:w="60"/>
              <w:left w:type="dxa" w:w="100"/>
              <w:bottom w:type="dxa" w:w="60"/>
              <w:right w:type="dxa" w:w="100"/>
            </w:tcMar>
          </w:tcPr>
          <w:p>
            <w:r>
              <w:rPr>
                <w:b w:val="false"/>
                <w:bCs w:val="false"/>
                <w:color w:val="1A1A19"/>
                <w:sz w:val="20"/>
                <w:szCs w:val="20"/>
              </w:rPr>
              <w:t xml:space="preserve">0,332</w:t>
            </w:r>
          </w:p>
        </w:tc>
        <w:tc>
          <w:tcPr>
            <w:tcW w:type="dxa" w:w="1300"/>
            <w:shd w:fill="F2F2F0" w:val="clear"/>
            <w:tcMar>
              <w:top w:type="dxa" w:w="60"/>
              <w:left w:type="dxa" w:w="100"/>
              <w:bottom w:type="dxa" w:w="60"/>
              <w:right w:type="dxa" w:w="100"/>
            </w:tcMar>
          </w:tcPr>
          <w:p>
            <w:r>
              <w:rPr>
                <w:b w:val="false"/>
                <w:bCs w:val="false"/>
                <w:color w:val="1A1A19"/>
                <w:sz w:val="20"/>
                <w:szCs w:val="20"/>
              </w:rPr>
              <w:t xml:space="preserve">12.646</w:t>
            </w:r>
          </w:p>
        </w:tc>
        <w:tc>
          <w:tcPr>
            <w:tcW w:type="dxa" w:w="1300"/>
            <w:shd w:fill="F2F2F0" w:val="clear"/>
            <w:tcMar>
              <w:top w:type="dxa" w:w="60"/>
              <w:left w:type="dxa" w:w="100"/>
              <w:bottom w:type="dxa" w:w="60"/>
              <w:right w:type="dxa" w:w="100"/>
            </w:tcMar>
          </w:tcPr>
          <w:p>
            <w:r>
              <w:rPr>
                <w:b w:val="false"/>
                <w:bCs w:val="false"/>
                <w:color w:val="1A1A19"/>
                <w:sz w:val="20"/>
                <w:szCs w:val="20"/>
              </w:rPr>
              <w:t xml:space="preserve">39.387</w:t>
            </w:r>
          </w:p>
        </w:tc>
        <w:tc>
          <w:tcPr>
            <w:tcW w:type="dxa" w:w="1700"/>
            <w:shd w:fill="F2F2F0" w:val="clear"/>
            <w:tcMar>
              <w:top w:type="dxa" w:w="60"/>
              <w:left w:type="dxa" w:w="100"/>
              <w:bottom w:type="dxa" w:w="60"/>
              <w:right w:type="dxa" w:w="100"/>
            </w:tcMar>
          </w:tcPr>
          <w:p>
            <w:r>
              <w:rPr>
                <w:b w:val="false"/>
                <w:bCs w:val="false"/>
                <w:color w:val="1A1A19"/>
                <w:sz w:val="20"/>
                <w:szCs w:val="20"/>
              </w:rPr>
              <w:t xml:space="preserve">26.732</w:t>
            </w:r>
          </w:p>
        </w:tc>
      </w:tr>
      <w:tr>
        <w:tc>
          <w:tcPr>
            <w:tcW w:type="dxa" w:w="1600"/>
            <w:tcMar>
              <w:top w:type="dxa" w:w="60"/>
              <w:left w:type="dxa" w:w="100"/>
              <w:bottom w:type="dxa" w:w="60"/>
              <w:right w:type="dxa" w:w="100"/>
            </w:tcMar>
          </w:tcPr>
          <w:p>
            <w:r>
              <w:rPr>
                <w:b w:val="false"/>
                <w:bCs w:val="false"/>
                <w:color w:val="1A1A19"/>
                <w:sz w:val="20"/>
                <w:szCs w:val="20"/>
              </w:rPr>
              <w:t xml:space="preserve">(2,2)</w:t>
            </w:r>
          </w:p>
        </w:tc>
        <w:tc>
          <w:tcPr>
            <w:tcW w:type="dxa" w:w="1300"/>
            <w:tcMar>
              <w:top w:type="dxa" w:w="60"/>
              <w:left w:type="dxa" w:w="100"/>
              <w:bottom w:type="dxa" w:w="60"/>
              <w:right w:type="dxa" w:w="100"/>
            </w:tcMar>
          </w:tcPr>
          <w:p>
            <w:r>
              <w:rPr>
                <w:b w:val="false"/>
                <w:bCs w:val="false"/>
                <w:color w:val="1A1A19"/>
                <w:sz w:val="20"/>
                <w:szCs w:val="20"/>
              </w:rPr>
              <w:t xml:space="preserve">24.928</w:t>
            </w:r>
          </w:p>
        </w:tc>
        <w:tc>
          <w:tcPr>
            <w:tcW w:type="dxa" w:w="1600"/>
            <w:tcMar>
              <w:top w:type="dxa" w:w="60"/>
              <w:left w:type="dxa" w:w="100"/>
              <w:bottom w:type="dxa" w:w="60"/>
              <w:right w:type="dxa" w:w="100"/>
            </w:tcMar>
          </w:tcPr>
          <w:p>
            <w:r>
              <w:rPr>
                <w:b w:val="false"/>
                <w:bCs w:val="false"/>
                <w:color w:val="1A1A19"/>
                <w:sz w:val="20"/>
                <w:szCs w:val="20"/>
              </w:rPr>
              <w:t xml:space="preserve">8.115</w:t>
            </w:r>
          </w:p>
        </w:tc>
        <w:tc>
          <w:tcPr>
            <w:tcW w:type="dxa" w:w="900"/>
            <w:tcMar>
              <w:top w:type="dxa" w:w="60"/>
              <w:left w:type="dxa" w:w="100"/>
              <w:bottom w:type="dxa" w:w="60"/>
              <w:right w:type="dxa" w:w="100"/>
            </w:tcMar>
          </w:tcPr>
          <w:p>
            <w:r>
              <w:rPr>
                <w:b w:val="false"/>
                <w:bCs w:val="false"/>
                <w:color w:val="1A1A19"/>
                <w:sz w:val="20"/>
                <w:szCs w:val="20"/>
              </w:rPr>
              <w:t xml:space="preserve">0,326</w:t>
            </w:r>
          </w:p>
        </w:tc>
        <w:tc>
          <w:tcPr>
            <w:tcW w:type="dxa" w:w="1300"/>
            <w:tcMar>
              <w:top w:type="dxa" w:w="60"/>
              <w:left w:type="dxa" w:w="100"/>
              <w:bottom w:type="dxa" w:w="60"/>
              <w:right w:type="dxa" w:w="100"/>
            </w:tcMar>
          </w:tcPr>
          <w:p>
            <w:r>
              <w:rPr>
                <w:b w:val="false"/>
                <w:bCs w:val="false"/>
                <w:color w:val="1A1A19"/>
                <w:sz w:val="20"/>
                <w:szCs w:val="20"/>
              </w:rPr>
              <w:t xml:space="preserve">14.949</w:t>
            </w:r>
          </w:p>
        </w:tc>
        <w:tc>
          <w:tcPr>
            <w:tcW w:type="dxa" w:w="1300"/>
            <w:tcMar>
              <w:top w:type="dxa" w:w="60"/>
              <w:left w:type="dxa" w:w="100"/>
              <w:bottom w:type="dxa" w:w="60"/>
              <w:right w:type="dxa" w:w="100"/>
            </w:tcMar>
          </w:tcPr>
          <w:p>
            <w:r>
              <w:rPr>
                <w:b w:val="false"/>
                <w:bCs w:val="false"/>
                <w:color w:val="1A1A19"/>
                <w:sz w:val="20"/>
                <w:szCs w:val="20"/>
              </w:rPr>
              <w:t xml:space="preserve">38.048</w:t>
            </w:r>
          </w:p>
        </w:tc>
        <w:tc>
          <w:tcPr>
            <w:tcW w:type="dxa" w:w="1700"/>
            <w:tcMar>
              <w:top w:type="dxa" w:w="60"/>
              <w:left w:type="dxa" w:w="100"/>
              <w:bottom w:type="dxa" w:w="60"/>
              <w:right w:type="dxa" w:w="100"/>
            </w:tcMar>
          </w:tcPr>
          <w:p>
            <w:r>
              <w:rPr>
                <w:b w:val="false"/>
                <w:bCs w:val="false"/>
                <w:color w:val="1A1A19"/>
                <w:sz w:val="20"/>
                <w:szCs w:val="20"/>
              </w:rPr>
              <w:t xml:space="preserve">25.165</w:t>
            </w:r>
          </w:p>
        </w:tc>
      </w:tr>
    </w:tbl>
    <w:p>
      <w:pPr>
        <w:spacing w:after="280"/>
        <w:jc w:val="center"/>
      </w:pPr>
      <w:r>
        <w:rPr>
          <w:i/>
          <w:iCs/>
          <w:color w:val="52514E"/>
          <w:sz w:val="19"/>
          <w:szCs w:val="19"/>
        </w:rPr>
        <w:t xml:space="preserve">Tabla 1. Estadística descriptiva de la demanda por producto (botellas). Fuente: resultados/tablas/resumen_demanda_por_producto.csv</w:t>
      </w:r>
    </w:p>
    <w:p>
      <w:pPr>
        <w:spacing w:after="160" w:line="276"/>
      </w:pPr>
      <w:r>
        <w:rPr>
          <w:sz w:val="22"/>
          <w:szCs w:val="22"/>
        </w:rPr>
        <w:t xml:space="preserve">El producto (1,1) es el de mayor demanda esperada (40.665 botellas) pero también el más variable con diferencia (CV = 0,59); su máximo (81.856, en el nodo 5) casi cuadruplica su mínimo (10.426, en el nodo 11). En el otro extremo, los productos del Vino 2 — (2,1) y (2,2) — son los más estables (CV ≈ 0,33), con una demanda esperada similar entre sí (≈ 26.700 y ≈ 25.200 botellas respectivamente). El producto (1,3) es el de menor demanda esperada (16.901 botellas).</w:t>
      </w:r>
    </w:p>
    <w:p>
      <w:pPr>
        <w:spacing w:after="80" w:before="120"/>
        <w:jc w:val="center"/>
      </w:pPr>
      <w:r>
        <w:drawing>
          <wp:inline distT="0" distB="0" distL="0" distR="0">
            <wp:extent cx="47529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2971800"/>
                    </a:xfrm>
                    <a:prstGeom prst="rect">
                      <a:avLst/>
                    </a:prstGeom>
                  </pic:spPr>
                </pic:pic>
              </a:graphicData>
            </a:graphic>
          </wp:inline>
        </w:drawing>
      </w:r>
    </w:p>
    <w:p>
      <w:pPr>
        <w:spacing w:after="280"/>
        <w:jc w:val="center"/>
      </w:pPr>
      <w:r>
        <w:rPr>
          <w:i/>
          <w:iCs/>
          <w:color w:val="52514E"/>
          <w:sz w:val="19"/>
          <w:szCs w:val="19"/>
        </w:rPr>
        <w:t xml:space="preserve">Figura 2. Demanda esperada por producto, ponderada por la probabilidad de cada nodo final.</w:t>
      </w:r>
    </w:p>
    <w:p>
      <w:pPr>
        <w:spacing w:after="80" w:before="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190875"/>
                    </a:xfrm>
                    <a:prstGeom prst="rect">
                      <a:avLst/>
                    </a:prstGeom>
                  </pic:spPr>
                </pic:pic>
              </a:graphicData>
            </a:graphic>
          </wp:inline>
        </w:drawing>
      </w:r>
    </w:p>
    <w:p>
      <w:pPr>
        <w:spacing w:after="280"/>
        <w:jc w:val="center"/>
      </w:pPr>
      <w:r>
        <w:rPr>
          <w:i/>
          <w:iCs/>
          <w:color w:val="52514E"/>
          <w:sz w:val="19"/>
          <w:szCs w:val="19"/>
        </w:rPr>
        <w:t xml:space="preserve">Figura 3. Demanda de cada producto en cada uno de los 11 nodos del árbol.</w:t>
      </w:r>
    </w:p>
    <w:p>
      <w:pPr>
        <w:spacing w:after="80" w:before="120"/>
        <w:jc w:val="center"/>
      </w:pPr>
      <w:r>
        <w:drawing>
          <wp:inline distT="0" distB="0" distL="0" distR="0">
            <wp:extent cx="475297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124200"/>
                    </a:xfrm>
                    <a:prstGeom prst="rect">
                      <a:avLst/>
                    </a:prstGeom>
                  </pic:spPr>
                </pic:pic>
              </a:graphicData>
            </a:graphic>
          </wp:inline>
        </w:drawing>
      </w:r>
    </w:p>
    <w:p>
      <w:pPr>
        <w:spacing w:after="280"/>
        <w:jc w:val="center"/>
      </w:pPr>
      <w:r>
        <w:rPr>
          <w:i/>
          <w:iCs/>
          <w:color w:val="52514E"/>
          <w:sz w:val="19"/>
          <w:szCs w:val="19"/>
        </w:rPr>
        <w:t xml:space="preserve">Figura 4. Distribución de la demanda por producto a través de los 11 nodos (mediana, rango intercuartil y extremos).</w:t>
      </w:r>
    </w:p>
    <w:p>
      <w:pPr>
        <w:pStyle w:val="Heading2"/>
        <w:spacing w:after="120" w:before="280"/>
      </w:pPr>
      <w:r>
        <w:t xml:space="preserve">2.3 Correlación de demanda entre productos</w:t>
      </w:r>
    </w:p>
    <w:p>
      <w:pPr>
        <w:spacing w:after="160" w:line="276"/>
      </w:pPr>
      <w:r>
        <w:rPr>
          <w:sz w:val="22"/>
          <w:szCs w:val="22"/>
        </w:rPr>
        <w:t xml:space="preserve">El enunciado adelanta que las demandas de los productos del Vino 1 deberían correlacionar negativamente entre sí, y las del Vino 2, positivamente. Los datos lo confirman:</w:t>
      </w:r>
    </w:p>
    <w:p>
      <w:pPr>
        <w:spacing w:after="80" w:before="120"/>
        <w:jc w:val="center"/>
      </w:pPr>
      <w:r>
        <w:drawing>
          <wp:inline distT="0" distB="0" distL="0" distR="0">
            <wp:extent cx="42100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124200"/>
                    </a:xfrm>
                    <a:prstGeom prst="rect">
                      <a:avLst/>
                    </a:prstGeom>
                  </pic:spPr>
                </pic:pic>
              </a:graphicData>
            </a:graphic>
          </wp:inline>
        </w:drawing>
      </w:r>
    </w:p>
    <w:p>
      <w:pPr>
        <w:spacing w:after="280"/>
        <w:jc w:val="center"/>
      </w:pPr>
      <w:r>
        <w:rPr>
          <w:i/>
          <w:iCs/>
          <w:color w:val="52514E"/>
          <w:sz w:val="19"/>
          <w:szCs w:val="19"/>
        </w:rPr>
        <w:t xml:space="preserve">Figura 5. Correlación de demanda entre productos, calculada a través de los 11 nodos del árbol.</w:t>
      </w:r>
    </w:p>
    <w:p>
      <w:pPr>
        <w:pStyle w:val="ListParagraph"/>
        <w:numPr>
          <w:ilvl w:val="0"/>
          <w:numId w:val="2"/>
        </w:numPr>
        <w:spacing w:after="80"/>
      </w:pPr>
      <w:r>
        <w:rPr>
          <w:sz w:val="22"/>
          <w:szCs w:val="22"/>
        </w:rPr>
        <w:t xml:space="preserve">(1,1) y (1,2) correlacionan -0,66; (1,2) y (1,3), -0,40. Los tres productos del Vino 1 se mueven, en general, en direcciones opuestas: cuando sube la demanda de una etiqueta del Vino 1, suele bajar la de otra.</w:t>
      </w:r>
    </w:p>
    <w:p>
      <w:pPr>
        <w:pStyle w:val="ListParagraph"/>
        <w:numPr>
          <w:ilvl w:val="0"/>
          <w:numId w:val="2"/>
        </w:numPr>
        <w:spacing w:after="80"/>
      </w:pPr>
      <w:r>
        <w:rPr>
          <w:sz w:val="22"/>
          <w:szCs w:val="22"/>
        </w:rPr>
        <w:t xml:space="preserve">(2,1) y (2,2) correlacionan 0,98 — prácticamente se mueven juntos.</w:t>
      </w:r>
    </w:p>
    <w:p>
      <w:pPr>
        <w:pStyle w:val="ListParagraph"/>
        <w:numPr>
          <w:ilvl w:val="0"/>
          <w:numId w:val="2"/>
        </w:numPr>
        <w:spacing w:after="80"/>
      </w:pPr>
      <w:r>
        <w:rPr>
          <w:sz w:val="22"/>
          <w:szCs w:val="22"/>
        </w:rPr>
        <w:t xml:space="preserve">Los productos del Vino 2 correlacionan positivo y fuerte con (1,1) (0,79 y 0,84) y positivo moderado con (1,3) (0,62 y 0,59), y negativo con (1,2) (-0,72 y -0,81).</w:t>
      </w:r>
    </w:p>
    <w:p>
      <w:pPr>
        <w:spacing w:after="160" w:line="276"/>
      </w:pPr>
      <w:r>
        <w:rPr>
          <w:sz w:val="22"/>
          <w:szCs w:val="22"/>
        </w:rPr>
        <w:t xml:space="preserve">Esta estructura es relevante para el proyecto: la postergación del etiquetado tiene más valor justamente cuando la demanda de los productos que comparten una botella sin etiquetar está negativamente correlacionada, porque una misma botella “en blanco” puede cubrir la demanda alta de una etiqueta y la demanda baja de otra, reduciendo la necesidad de mantener inventario de producto ya etiquetado para cada combinación. El caso de (1,1)-(1,2)-(1,3) (que comparten Vino 1 y son las tres etiquetas admisibles del vino con mayor postergación posible) es el que más se beneficiaría de esa lógica de pooling.</w:t>
      </w:r>
    </w:p>
    <w:p>
      <w:pPr>
        <w:pStyle w:val="Heading2"/>
        <w:spacing w:after="120" w:before="280"/>
      </w:pPr>
      <w:r>
        <w:t xml:space="preserve">2.4 Chequeo de capacidad (caso base, sin postergación)</w:t>
      </w:r>
    </w:p>
    <w:p>
      <w:pPr>
        <w:spacing w:after="160" w:line="276"/>
      </w:pPr>
      <w:r>
        <w:rPr>
          <w:sz w:val="22"/>
          <w:szCs w:val="22"/>
        </w:rPr>
        <w:t xml:space="preserve">Se estimaron las horas de línea necesarias en cada uno de los 11 nodos, asumiendo el escenario que menos aprovecha la postergación: todo el volumen se embotella y etiqueta de forma acoplada (0,00028 horas/botella), más un set-up conjunto por vino en el nodo (1,5 horas cada uno, 3 horas en total ya que hay 2 vinos). Este es un cálculo de cota superior: en la práctica el modelo podría producir con menos set-ups o aprovechar la postergación para reducir el tiempo total.</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1500"/>
        <w:gridCol w:w="1600"/>
        <w:gridCol w:w="1100"/>
        <w:gridCol w:w="1100"/>
      </w:tblGrid>
      <w:tr>
        <w:trPr>
          <w:tblHeader/>
        </w:trPr>
        <w:tc>
          <w:tcPr>
            <w:tcW w:type="dxa" w:w="700"/>
            <w:shd w:fill="2A78D6" w:val="clear"/>
            <w:tcMar>
              <w:top w:type="dxa" w:w="60"/>
              <w:left w:type="dxa" w:w="100"/>
              <w:bottom w:type="dxa" w:w="60"/>
              <w:right w:type="dxa" w:w="100"/>
            </w:tcMar>
          </w:tcPr>
          <w:p>
            <w:r>
              <w:rPr>
                <w:b/>
                <w:bCs/>
                <w:color w:val="FFFFFF"/>
                <w:sz w:val="20"/>
                <w:szCs w:val="20"/>
              </w:rPr>
              <w:t xml:space="preserve">Nodo</w:t>
            </w:r>
          </w:p>
        </w:tc>
        <w:tc>
          <w:tcPr>
            <w:tcW w:type="dxa" w:w="900"/>
            <w:shd w:fill="2A78D6" w:val="clear"/>
            <w:tcMar>
              <w:top w:type="dxa" w:w="60"/>
              <w:left w:type="dxa" w:w="100"/>
              <w:bottom w:type="dxa" w:w="60"/>
              <w:right w:type="dxa" w:w="100"/>
            </w:tcMar>
          </w:tcPr>
          <w:p>
            <w:r>
              <w:rPr>
                <w:b/>
                <w:bCs/>
                <w:color w:val="FFFFFF"/>
                <w:sz w:val="20"/>
                <w:szCs w:val="20"/>
              </w:rPr>
              <w:t xml:space="preserve">Período</w:t>
            </w:r>
          </w:p>
        </w:tc>
        <w:tc>
          <w:tcPr>
            <w:tcW w:type="dxa" w:w="900"/>
            <w:shd w:fill="2A78D6" w:val="clear"/>
            <w:tcMar>
              <w:top w:type="dxa" w:w="60"/>
              <w:left w:type="dxa" w:w="100"/>
              <w:bottom w:type="dxa" w:w="60"/>
              <w:right w:type="dxa" w:w="100"/>
            </w:tcMar>
          </w:tcPr>
          <w:p>
            <w:r>
              <w:rPr>
                <w:b/>
                <w:bCs/>
                <w:color w:val="FFFFFF"/>
                <w:sz w:val="20"/>
                <w:szCs w:val="20"/>
              </w:rPr>
              <w:t xml:space="preserve">Estado</w:t>
            </w:r>
          </w:p>
        </w:tc>
        <w:tc>
          <w:tcPr>
            <w:tcW w:type="dxa" w:w="1500"/>
            <w:shd w:fill="2A78D6" w:val="clear"/>
            <w:tcMar>
              <w:top w:type="dxa" w:w="60"/>
              <w:left w:type="dxa" w:w="100"/>
              <w:bottom w:type="dxa" w:w="60"/>
              <w:right w:type="dxa" w:w="100"/>
            </w:tcMar>
          </w:tcPr>
          <w:p>
            <w:r>
              <w:rPr>
                <w:b/>
                <w:bCs/>
                <w:color w:val="FFFFFF"/>
                <w:sz w:val="20"/>
                <w:szCs w:val="20"/>
              </w:rPr>
              <w:t xml:space="preserve">Demanda total</w:t>
            </w:r>
          </w:p>
        </w:tc>
        <w:tc>
          <w:tcPr>
            <w:tcW w:type="dxa" w:w="1600"/>
            <w:shd w:fill="2A78D6" w:val="clear"/>
            <w:tcMar>
              <w:top w:type="dxa" w:w="60"/>
              <w:left w:type="dxa" w:w="100"/>
              <w:bottom w:type="dxa" w:w="60"/>
              <w:right w:type="dxa" w:w="100"/>
            </w:tcMar>
          </w:tcPr>
          <w:p>
            <w:r>
              <w:rPr>
                <w:b/>
                <w:bCs/>
                <w:color w:val="FFFFFF"/>
                <w:sz w:val="20"/>
                <w:szCs w:val="20"/>
              </w:rPr>
              <w:t xml:space="preserve">Horas requeridas</w:t>
            </w:r>
          </w:p>
        </w:tc>
        <w:tc>
          <w:tcPr>
            <w:tcW w:type="dxa" w:w="1100"/>
            <w:shd w:fill="2A78D6" w:val="clear"/>
            <w:tcMar>
              <w:top w:type="dxa" w:w="60"/>
              <w:left w:type="dxa" w:w="100"/>
              <w:bottom w:type="dxa" w:w="60"/>
              <w:right w:type="dxa" w:w="100"/>
            </w:tcMar>
          </w:tcPr>
          <w:p>
            <w:r>
              <w:rPr>
                <w:b/>
                <w:bCs/>
                <w:color w:val="FFFFFF"/>
                <w:sz w:val="20"/>
                <w:szCs w:val="20"/>
              </w:rPr>
              <w:t xml:space="preserve">Capacidad</w:t>
            </w:r>
          </w:p>
        </w:tc>
        <w:tc>
          <w:tcPr>
            <w:tcW w:type="dxa" w:w="1100"/>
            <w:shd w:fill="2A78D6" w:val="clear"/>
            <w:tcMar>
              <w:top w:type="dxa" w:w="60"/>
              <w:left w:type="dxa" w:w="100"/>
              <w:bottom w:type="dxa" w:w="60"/>
              <w:right w:type="dxa" w:w="100"/>
            </w:tcMar>
          </w:tcPr>
          <w:p>
            <w:r>
              <w:rPr>
                <w:b/>
                <w:bCs/>
                <w:color w:val="FFFFFF"/>
                <w:sz w:val="20"/>
                <w:szCs w:val="20"/>
              </w:rPr>
              <w:t xml:space="preserve">Holgura</w:t>
            </w:r>
          </w:p>
        </w:tc>
      </w:tr>
      <w:tr>
        <w:tc>
          <w:tcPr>
            <w:tcW w:type="dxa" w:w="700"/>
            <w:tcMar>
              <w:top w:type="dxa" w:w="60"/>
              <w:left w:type="dxa" w:w="100"/>
              <w:bottom w:type="dxa" w:w="60"/>
              <w:right w:type="dxa" w:w="100"/>
            </w:tcMar>
          </w:tcPr>
          <w:p>
            <w:r>
              <w:rPr>
                <w:b w:val="false"/>
                <w:bCs w:val="false"/>
                <w:color w:val="1A1A19"/>
                <w:sz w:val="20"/>
                <w:szCs w:val="20"/>
              </w:rPr>
              <w:t xml:space="preserve">1</w:t>
            </w:r>
          </w:p>
        </w:tc>
        <w:tc>
          <w:tcPr>
            <w:tcW w:type="dxa" w:w="900"/>
            <w:tcMar>
              <w:top w:type="dxa" w:w="60"/>
              <w:left w:type="dxa" w:w="100"/>
              <w:bottom w:type="dxa" w:w="60"/>
              <w:right w:type="dxa" w:w="100"/>
            </w:tcMar>
          </w:tcPr>
          <w:p>
            <w:r>
              <w:rPr>
                <w:b w:val="false"/>
                <w:bCs w:val="false"/>
                <w:color w:val="1A1A19"/>
                <w:sz w:val="20"/>
                <w:szCs w:val="20"/>
              </w:rPr>
              <w:t xml:space="preserve">1</w:t>
            </w:r>
          </w:p>
        </w:tc>
        <w:tc>
          <w:tcPr>
            <w:tcW w:type="dxa" w:w="900"/>
            <w:tcMar>
              <w:top w:type="dxa" w:w="60"/>
              <w:left w:type="dxa" w:w="100"/>
              <w:bottom w:type="dxa" w:w="60"/>
              <w:right w:type="dxa" w:w="100"/>
            </w:tcMar>
          </w:tcPr>
          <w:p>
            <w:r>
              <w:rPr>
                <w:b w:val="false"/>
                <w:bCs w:val="false"/>
                <w:color w:val="1A1A19"/>
                <w:sz w:val="20"/>
                <w:szCs w:val="20"/>
              </w:rPr>
              <w:t xml:space="preserve">Media</w:t>
            </w:r>
          </w:p>
        </w:tc>
        <w:tc>
          <w:tcPr>
            <w:tcW w:type="dxa" w:w="1500"/>
            <w:tcMar>
              <w:top w:type="dxa" w:w="60"/>
              <w:left w:type="dxa" w:w="100"/>
              <w:bottom w:type="dxa" w:w="60"/>
              <w:right w:type="dxa" w:w="100"/>
            </w:tcMar>
          </w:tcPr>
          <w:p>
            <w:r>
              <w:rPr>
                <w:b w:val="false"/>
                <w:bCs w:val="false"/>
                <w:color w:val="1A1A19"/>
                <w:sz w:val="20"/>
                <w:szCs w:val="20"/>
              </w:rPr>
              <w:t xml:space="preserve">112.292</w:t>
            </w:r>
          </w:p>
        </w:tc>
        <w:tc>
          <w:tcPr>
            <w:tcW w:type="dxa" w:w="1600"/>
            <w:tcMar>
              <w:top w:type="dxa" w:w="60"/>
              <w:left w:type="dxa" w:w="100"/>
              <w:bottom w:type="dxa" w:w="60"/>
              <w:right w:type="dxa" w:w="100"/>
            </w:tcMar>
          </w:tcPr>
          <w:p>
            <w:r>
              <w:rPr>
                <w:b w:val="false"/>
                <w:bCs w:val="false"/>
                <w:color w:val="1A1A19"/>
                <w:sz w:val="20"/>
                <w:szCs w:val="20"/>
              </w:rPr>
              <w:t xml:space="preserve">34,4 h</w:t>
            </w:r>
          </w:p>
        </w:tc>
        <w:tc>
          <w:tcPr>
            <w:tcW w:type="dxa" w:w="1100"/>
            <w:tcMar>
              <w:top w:type="dxa" w:w="60"/>
              <w:left w:type="dxa" w:w="100"/>
              <w:bottom w:type="dxa" w:w="60"/>
              <w:right w:type="dxa" w:w="100"/>
            </w:tcMar>
          </w:tcPr>
          <w:p>
            <w:r>
              <w:rPr>
                <w:b w:val="false"/>
                <w:bCs w:val="false"/>
                <w:color w:val="1A1A19"/>
                <w:sz w:val="20"/>
                <w:szCs w:val="20"/>
              </w:rPr>
              <w:t xml:space="preserve">84 h</w:t>
            </w:r>
          </w:p>
        </w:tc>
        <w:tc>
          <w:tcPr>
            <w:tcW w:type="dxa" w:w="1100"/>
            <w:tcMar>
              <w:top w:type="dxa" w:w="60"/>
              <w:left w:type="dxa" w:w="100"/>
              <w:bottom w:type="dxa" w:w="60"/>
              <w:right w:type="dxa" w:w="100"/>
            </w:tcMar>
          </w:tcPr>
          <w:p>
            <w:r>
              <w:rPr>
                <w:b w:val="false"/>
                <w:bCs w:val="false"/>
                <w:color w:val="1A1A19"/>
                <w:sz w:val="20"/>
                <w:szCs w:val="20"/>
              </w:rPr>
              <w:t xml:space="preserve">49,6 h</w:t>
            </w:r>
          </w:p>
        </w:tc>
      </w:tr>
      <w:tr>
        <w:tc>
          <w:tcPr>
            <w:tcW w:type="dxa" w:w="700"/>
            <w:shd w:fill="F2F2F0" w:val="clear"/>
            <w:tcMar>
              <w:top w:type="dxa" w:w="60"/>
              <w:left w:type="dxa" w:w="100"/>
              <w:bottom w:type="dxa" w:w="60"/>
              <w:right w:type="dxa" w:w="100"/>
            </w:tcMar>
          </w:tcPr>
          <w:p>
            <w:r>
              <w:rPr>
                <w:b w:val="false"/>
                <w:bCs w:val="false"/>
                <w:color w:val="1A1A19"/>
                <w:sz w:val="20"/>
                <w:szCs w:val="20"/>
              </w:rPr>
              <w:t xml:space="preserve">2</w:t>
            </w:r>
          </w:p>
        </w:tc>
        <w:tc>
          <w:tcPr>
            <w:tcW w:type="dxa" w:w="900"/>
            <w:shd w:fill="F2F2F0" w:val="clear"/>
            <w:tcMar>
              <w:top w:type="dxa" w:w="60"/>
              <w:left w:type="dxa" w:w="100"/>
              <w:bottom w:type="dxa" w:w="60"/>
              <w:right w:type="dxa" w:w="100"/>
            </w:tcMar>
          </w:tcPr>
          <w:p>
            <w:r>
              <w:rPr>
                <w:b w:val="false"/>
                <w:bCs w:val="false"/>
                <w:color w:val="1A1A19"/>
                <w:sz w:val="20"/>
                <w:szCs w:val="20"/>
              </w:rPr>
              <w:t xml:space="preserve">2</w:t>
            </w:r>
          </w:p>
        </w:tc>
        <w:tc>
          <w:tcPr>
            <w:tcW w:type="dxa" w:w="900"/>
            <w:shd w:fill="F2F2F0" w:val="clear"/>
            <w:tcMar>
              <w:top w:type="dxa" w:w="60"/>
              <w:left w:type="dxa" w:w="100"/>
              <w:bottom w:type="dxa" w:w="60"/>
              <w:right w:type="dxa" w:w="100"/>
            </w:tcMar>
          </w:tcPr>
          <w:p>
            <w:r>
              <w:rPr>
                <w:b w:val="false"/>
                <w:bCs w:val="false"/>
                <w:color w:val="1A1A19"/>
                <w:sz w:val="20"/>
                <w:szCs w:val="20"/>
              </w:rPr>
              <w:t xml:space="preserve">Alta</w:t>
            </w:r>
          </w:p>
        </w:tc>
        <w:tc>
          <w:tcPr>
            <w:tcW w:type="dxa" w:w="1500"/>
            <w:shd w:fill="F2F2F0" w:val="clear"/>
            <w:tcMar>
              <w:top w:type="dxa" w:w="60"/>
              <w:left w:type="dxa" w:w="100"/>
              <w:bottom w:type="dxa" w:w="60"/>
              <w:right w:type="dxa" w:w="100"/>
            </w:tcMar>
          </w:tcPr>
          <w:p>
            <w:r>
              <w:rPr>
                <w:b w:val="false"/>
                <w:bCs w:val="false"/>
                <w:color w:val="1A1A19"/>
                <w:sz w:val="20"/>
                <w:szCs w:val="20"/>
              </w:rPr>
              <w:t xml:space="preserve">183.987</w:t>
            </w:r>
          </w:p>
        </w:tc>
        <w:tc>
          <w:tcPr>
            <w:tcW w:type="dxa" w:w="1600"/>
            <w:shd w:fill="F2F2F0" w:val="clear"/>
            <w:tcMar>
              <w:top w:type="dxa" w:w="60"/>
              <w:left w:type="dxa" w:w="100"/>
              <w:bottom w:type="dxa" w:w="60"/>
              <w:right w:type="dxa" w:w="100"/>
            </w:tcMar>
          </w:tcPr>
          <w:p>
            <w:r>
              <w:rPr>
                <w:b w:val="false"/>
                <w:bCs w:val="false"/>
                <w:color w:val="1A1A19"/>
                <w:sz w:val="20"/>
                <w:szCs w:val="20"/>
              </w:rPr>
              <w:t xml:space="preserve">54,5 h</w:t>
            </w:r>
          </w:p>
        </w:tc>
        <w:tc>
          <w:tcPr>
            <w:tcW w:type="dxa" w:w="1100"/>
            <w:shd w:fill="F2F2F0" w:val="clear"/>
            <w:tcMar>
              <w:top w:type="dxa" w:w="60"/>
              <w:left w:type="dxa" w:w="100"/>
              <w:bottom w:type="dxa" w:w="60"/>
              <w:right w:type="dxa" w:w="100"/>
            </w:tcMar>
          </w:tcPr>
          <w:p>
            <w:r>
              <w:rPr>
                <w:b w:val="false"/>
                <w:bCs w:val="false"/>
                <w:color w:val="1A1A19"/>
                <w:sz w:val="20"/>
                <w:szCs w:val="20"/>
              </w:rPr>
              <w:t xml:space="preserve">84 h</w:t>
            </w:r>
          </w:p>
        </w:tc>
        <w:tc>
          <w:tcPr>
            <w:tcW w:type="dxa" w:w="1100"/>
            <w:shd w:fill="F2F2F0" w:val="clear"/>
            <w:tcMar>
              <w:top w:type="dxa" w:w="60"/>
              <w:left w:type="dxa" w:w="100"/>
              <w:bottom w:type="dxa" w:w="60"/>
              <w:right w:type="dxa" w:w="100"/>
            </w:tcMar>
          </w:tcPr>
          <w:p>
            <w:r>
              <w:rPr>
                <w:b w:val="false"/>
                <w:bCs w:val="false"/>
                <w:color w:val="1A1A19"/>
                <w:sz w:val="20"/>
                <w:szCs w:val="20"/>
              </w:rPr>
              <w:t xml:space="preserve">29,5 h</w:t>
            </w:r>
          </w:p>
        </w:tc>
      </w:tr>
      <w:tr>
        <w:tc>
          <w:tcPr>
            <w:tcW w:type="dxa" w:w="700"/>
            <w:tcMar>
              <w:top w:type="dxa" w:w="60"/>
              <w:left w:type="dxa" w:w="100"/>
              <w:bottom w:type="dxa" w:w="60"/>
              <w:right w:type="dxa" w:w="100"/>
            </w:tcMar>
          </w:tcPr>
          <w:p>
            <w:r>
              <w:rPr>
                <w:b w:val="false"/>
                <w:bCs w:val="false"/>
                <w:color w:val="1A1A19"/>
                <w:sz w:val="20"/>
                <w:szCs w:val="20"/>
              </w:rPr>
              <w:t xml:space="preserve">3</w:t>
            </w:r>
          </w:p>
        </w:tc>
        <w:tc>
          <w:tcPr>
            <w:tcW w:type="dxa" w:w="900"/>
            <w:tcMar>
              <w:top w:type="dxa" w:w="60"/>
              <w:left w:type="dxa" w:w="100"/>
              <w:bottom w:type="dxa" w:w="60"/>
              <w:right w:type="dxa" w:w="100"/>
            </w:tcMar>
          </w:tcPr>
          <w:p>
            <w:r>
              <w:rPr>
                <w:b w:val="false"/>
                <w:bCs w:val="false"/>
                <w:color w:val="1A1A19"/>
                <w:sz w:val="20"/>
                <w:szCs w:val="20"/>
              </w:rPr>
              <w:t xml:space="preserve">2</w:t>
            </w:r>
          </w:p>
        </w:tc>
        <w:tc>
          <w:tcPr>
            <w:tcW w:type="dxa" w:w="900"/>
            <w:tcMar>
              <w:top w:type="dxa" w:w="60"/>
              <w:left w:type="dxa" w:w="100"/>
              <w:bottom w:type="dxa" w:w="60"/>
              <w:right w:type="dxa" w:w="100"/>
            </w:tcMar>
          </w:tcPr>
          <w:p>
            <w:r>
              <w:rPr>
                <w:b w:val="false"/>
                <w:bCs w:val="false"/>
                <w:color w:val="1A1A19"/>
                <w:sz w:val="20"/>
                <w:szCs w:val="20"/>
              </w:rPr>
              <w:t xml:space="preserve">Media</w:t>
            </w:r>
          </w:p>
        </w:tc>
        <w:tc>
          <w:tcPr>
            <w:tcW w:type="dxa" w:w="1500"/>
            <w:tcMar>
              <w:top w:type="dxa" w:w="60"/>
              <w:left w:type="dxa" w:w="100"/>
              <w:bottom w:type="dxa" w:w="60"/>
              <w:right w:type="dxa" w:w="100"/>
            </w:tcMar>
          </w:tcPr>
          <w:p>
            <w:r>
              <w:rPr>
                <w:b w:val="false"/>
                <w:bCs w:val="false"/>
                <w:color w:val="1A1A19"/>
                <w:sz w:val="20"/>
                <w:szCs w:val="20"/>
              </w:rPr>
              <w:t xml:space="preserve">142.292</w:t>
            </w:r>
          </w:p>
        </w:tc>
        <w:tc>
          <w:tcPr>
            <w:tcW w:type="dxa" w:w="1600"/>
            <w:tcMar>
              <w:top w:type="dxa" w:w="60"/>
              <w:left w:type="dxa" w:w="100"/>
              <w:bottom w:type="dxa" w:w="60"/>
              <w:right w:type="dxa" w:w="100"/>
            </w:tcMar>
          </w:tcPr>
          <w:p>
            <w:r>
              <w:rPr>
                <w:b w:val="false"/>
                <w:bCs w:val="false"/>
                <w:color w:val="1A1A19"/>
                <w:sz w:val="20"/>
                <w:szCs w:val="20"/>
              </w:rPr>
              <w:t xml:space="preserve">42,8 h</w:t>
            </w:r>
          </w:p>
        </w:tc>
        <w:tc>
          <w:tcPr>
            <w:tcW w:type="dxa" w:w="1100"/>
            <w:tcMar>
              <w:top w:type="dxa" w:w="60"/>
              <w:left w:type="dxa" w:w="100"/>
              <w:bottom w:type="dxa" w:w="60"/>
              <w:right w:type="dxa" w:w="100"/>
            </w:tcMar>
          </w:tcPr>
          <w:p>
            <w:r>
              <w:rPr>
                <w:b w:val="false"/>
                <w:bCs w:val="false"/>
                <w:color w:val="1A1A19"/>
                <w:sz w:val="20"/>
                <w:szCs w:val="20"/>
              </w:rPr>
              <w:t xml:space="preserve">84 h</w:t>
            </w:r>
          </w:p>
        </w:tc>
        <w:tc>
          <w:tcPr>
            <w:tcW w:type="dxa" w:w="1100"/>
            <w:tcMar>
              <w:top w:type="dxa" w:w="60"/>
              <w:left w:type="dxa" w:w="100"/>
              <w:bottom w:type="dxa" w:w="60"/>
              <w:right w:type="dxa" w:w="100"/>
            </w:tcMar>
          </w:tcPr>
          <w:p>
            <w:r>
              <w:rPr>
                <w:b w:val="false"/>
                <w:bCs w:val="false"/>
                <w:color w:val="1A1A19"/>
                <w:sz w:val="20"/>
                <w:szCs w:val="20"/>
              </w:rPr>
              <w:t xml:space="preserve">41,2 h</w:t>
            </w:r>
          </w:p>
        </w:tc>
      </w:tr>
      <w:tr>
        <w:tc>
          <w:tcPr>
            <w:tcW w:type="dxa" w:w="700"/>
            <w:shd w:fill="F2F2F0" w:val="clear"/>
            <w:tcMar>
              <w:top w:type="dxa" w:w="60"/>
              <w:left w:type="dxa" w:w="100"/>
              <w:bottom w:type="dxa" w:w="60"/>
              <w:right w:type="dxa" w:w="100"/>
            </w:tcMar>
          </w:tcPr>
          <w:p>
            <w:r>
              <w:rPr>
                <w:b w:val="false"/>
                <w:bCs w:val="false"/>
                <w:color w:val="1A1A19"/>
                <w:sz w:val="20"/>
                <w:szCs w:val="20"/>
              </w:rPr>
              <w:t xml:space="preserve">4</w:t>
            </w:r>
          </w:p>
        </w:tc>
        <w:tc>
          <w:tcPr>
            <w:tcW w:type="dxa" w:w="900"/>
            <w:shd w:fill="F2F2F0" w:val="clear"/>
            <w:tcMar>
              <w:top w:type="dxa" w:w="60"/>
              <w:left w:type="dxa" w:w="100"/>
              <w:bottom w:type="dxa" w:w="60"/>
              <w:right w:type="dxa" w:w="100"/>
            </w:tcMar>
          </w:tcPr>
          <w:p>
            <w:r>
              <w:rPr>
                <w:b w:val="false"/>
                <w:bCs w:val="false"/>
                <w:color w:val="1A1A19"/>
                <w:sz w:val="20"/>
                <w:szCs w:val="20"/>
              </w:rPr>
              <w:t xml:space="preserve">2</w:t>
            </w:r>
          </w:p>
        </w:tc>
        <w:tc>
          <w:tcPr>
            <w:tcW w:type="dxa" w:w="900"/>
            <w:shd w:fill="F2F2F0" w:val="clear"/>
            <w:tcMar>
              <w:top w:type="dxa" w:w="60"/>
              <w:left w:type="dxa" w:w="100"/>
              <w:bottom w:type="dxa" w:w="60"/>
              <w:right w:type="dxa" w:w="100"/>
            </w:tcMar>
          </w:tcPr>
          <w:p>
            <w:r>
              <w:rPr>
                <w:b w:val="false"/>
                <w:bCs w:val="false"/>
                <w:color w:val="1A1A19"/>
                <w:sz w:val="20"/>
                <w:szCs w:val="20"/>
              </w:rPr>
              <w:t xml:space="preserve">Baja</w:t>
            </w:r>
          </w:p>
        </w:tc>
        <w:tc>
          <w:tcPr>
            <w:tcW w:type="dxa" w:w="1500"/>
            <w:shd w:fill="F2F2F0" w:val="clear"/>
            <w:tcMar>
              <w:top w:type="dxa" w:w="60"/>
              <w:left w:type="dxa" w:w="100"/>
              <w:bottom w:type="dxa" w:w="60"/>
              <w:right w:type="dxa" w:w="100"/>
            </w:tcMar>
          </w:tcPr>
          <w:p>
            <w:r>
              <w:rPr>
                <w:b w:val="false"/>
                <w:bCs w:val="false"/>
                <w:color w:val="1A1A19"/>
                <w:sz w:val="20"/>
                <w:szCs w:val="20"/>
              </w:rPr>
              <w:t xml:space="preserve">98.307</w:t>
            </w:r>
          </w:p>
        </w:tc>
        <w:tc>
          <w:tcPr>
            <w:tcW w:type="dxa" w:w="1600"/>
            <w:shd w:fill="F2F2F0" w:val="clear"/>
            <w:tcMar>
              <w:top w:type="dxa" w:w="60"/>
              <w:left w:type="dxa" w:w="100"/>
              <w:bottom w:type="dxa" w:w="60"/>
              <w:right w:type="dxa" w:w="100"/>
            </w:tcMar>
          </w:tcPr>
          <w:p>
            <w:r>
              <w:rPr>
                <w:b w:val="false"/>
                <w:bCs w:val="false"/>
                <w:color w:val="1A1A19"/>
                <w:sz w:val="20"/>
                <w:szCs w:val="20"/>
              </w:rPr>
              <w:t xml:space="preserve">30,5 h</w:t>
            </w:r>
          </w:p>
        </w:tc>
        <w:tc>
          <w:tcPr>
            <w:tcW w:type="dxa" w:w="1100"/>
            <w:shd w:fill="F2F2F0" w:val="clear"/>
            <w:tcMar>
              <w:top w:type="dxa" w:w="60"/>
              <w:left w:type="dxa" w:w="100"/>
              <w:bottom w:type="dxa" w:w="60"/>
              <w:right w:type="dxa" w:w="100"/>
            </w:tcMar>
          </w:tcPr>
          <w:p>
            <w:r>
              <w:rPr>
                <w:b w:val="false"/>
                <w:bCs w:val="false"/>
                <w:color w:val="1A1A19"/>
                <w:sz w:val="20"/>
                <w:szCs w:val="20"/>
              </w:rPr>
              <w:t xml:space="preserve">84 h</w:t>
            </w:r>
          </w:p>
        </w:tc>
        <w:tc>
          <w:tcPr>
            <w:tcW w:type="dxa" w:w="1100"/>
            <w:shd w:fill="F2F2F0" w:val="clear"/>
            <w:tcMar>
              <w:top w:type="dxa" w:w="60"/>
              <w:left w:type="dxa" w:w="100"/>
              <w:bottom w:type="dxa" w:w="60"/>
              <w:right w:type="dxa" w:w="100"/>
            </w:tcMar>
          </w:tcPr>
          <w:p>
            <w:r>
              <w:rPr>
                <w:b w:val="false"/>
                <w:bCs w:val="false"/>
                <w:color w:val="1A1A19"/>
                <w:sz w:val="20"/>
                <w:szCs w:val="20"/>
              </w:rPr>
              <w:t xml:space="preserve">53,5 h</w:t>
            </w:r>
          </w:p>
        </w:tc>
      </w:tr>
      <w:tr>
        <w:tc>
          <w:tcPr>
            <w:tcW w:type="dxa" w:w="700"/>
            <w:tcMar>
              <w:top w:type="dxa" w:w="60"/>
              <w:left w:type="dxa" w:w="100"/>
              <w:bottom w:type="dxa" w:w="60"/>
              <w:right w:type="dxa" w:w="100"/>
            </w:tcMar>
          </w:tcPr>
          <w:p>
            <w:r>
              <w:rPr>
                <w:b w:val="false"/>
                <w:bCs w:val="false"/>
                <w:color w:val="1A1A19"/>
                <w:sz w:val="20"/>
                <w:szCs w:val="20"/>
              </w:rPr>
              <w:t xml:space="preserve">5</w:t>
            </w:r>
          </w:p>
        </w:tc>
        <w:tc>
          <w:tcPr>
            <w:tcW w:type="dxa" w:w="900"/>
            <w:tcMar>
              <w:top w:type="dxa" w:w="60"/>
              <w:left w:type="dxa" w:w="100"/>
              <w:bottom w:type="dxa" w:w="60"/>
              <w:right w:type="dxa" w:w="100"/>
            </w:tcMar>
          </w:tcPr>
          <w:p>
            <w:r>
              <w:rPr>
                <w:b w:val="false"/>
                <w:bCs w:val="false"/>
                <w:color w:val="1A1A19"/>
                <w:sz w:val="20"/>
                <w:szCs w:val="20"/>
              </w:rPr>
              <w:t xml:space="preserve">3</w:t>
            </w:r>
          </w:p>
        </w:tc>
        <w:tc>
          <w:tcPr>
            <w:tcW w:type="dxa" w:w="900"/>
            <w:tcMar>
              <w:top w:type="dxa" w:w="60"/>
              <w:left w:type="dxa" w:w="100"/>
              <w:bottom w:type="dxa" w:w="60"/>
              <w:right w:type="dxa" w:w="100"/>
            </w:tcMar>
          </w:tcPr>
          <w:p>
            <w:r>
              <w:rPr>
                <w:b w:val="false"/>
                <w:bCs w:val="false"/>
                <w:color w:val="1A1A19"/>
                <w:sz w:val="20"/>
                <w:szCs w:val="20"/>
              </w:rPr>
              <w:t xml:space="preserve">Alta</w:t>
            </w:r>
          </w:p>
        </w:tc>
        <w:tc>
          <w:tcPr>
            <w:tcW w:type="dxa" w:w="1500"/>
            <w:tcMar>
              <w:top w:type="dxa" w:w="60"/>
              <w:left w:type="dxa" w:w="100"/>
              <w:bottom w:type="dxa" w:w="60"/>
              <w:right w:type="dxa" w:w="100"/>
            </w:tcMar>
          </w:tcPr>
          <w:p>
            <w:r>
              <w:rPr>
                <w:b w:val="false"/>
                <w:bCs w:val="false"/>
                <w:color w:val="1A1A19"/>
                <w:sz w:val="20"/>
                <w:szCs w:val="20"/>
              </w:rPr>
              <w:t xml:space="preserve">178.877</w:t>
            </w:r>
          </w:p>
        </w:tc>
        <w:tc>
          <w:tcPr>
            <w:tcW w:type="dxa" w:w="1600"/>
            <w:tcMar>
              <w:top w:type="dxa" w:w="60"/>
              <w:left w:type="dxa" w:w="100"/>
              <w:bottom w:type="dxa" w:w="60"/>
              <w:right w:type="dxa" w:w="100"/>
            </w:tcMar>
          </w:tcPr>
          <w:p>
            <w:r>
              <w:rPr>
                <w:b w:val="false"/>
                <w:bCs w:val="false"/>
                <w:color w:val="1A1A19"/>
                <w:sz w:val="20"/>
                <w:szCs w:val="20"/>
              </w:rPr>
              <w:t xml:space="preserve">53,1 h</w:t>
            </w:r>
          </w:p>
        </w:tc>
        <w:tc>
          <w:tcPr>
            <w:tcW w:type="dxa" w:w="1100"/>
            <w:tcMar>
              <w:top w:type="dxa" w:w="60"/>
              <w:left w:type="dxa" w:w="100"/>
              <w:bottom w:type="dxa" w:w="60"/>
              <w:right w:type="dxa" w:w="100"/>
            </w:tcMar>
          </w:tcPr>
          <w:p>
            <w:r>
              <w:rPr>
                <w:b w:val="false"/>
                <w:bCs w:val="false"/>
                <w:color w:val="1A1A19"/>
                <w:sz w:val="20"/>
                <w:szCs w:val="20"/>
              </w:rPr>
              <w:t xml:space="preserve">84 h</w:t>
            </w:r>
          </w:p>
        </w:tc>
        <w:tc>
          <w:tcPr>
            <w:tcW w:type="dxa" w:w="1100"/>
            <w:tcMar>
              <w:top w:type="dxa" w:w="60"/>
              <w:left w:type="dxa" w:w="100"/>
              <w:bottom w:type="dxa" w:w="60"/>
              <w:right w:type="dxa" w:w="100"/>
            </w:tcMar>
          </w:tcPr>
          <w:p>
            <w:r>
              <w:rPr>
                <w:b w:val="false"/>
                <w:bCs w:val="false"/>
                <w:color w:val="1A1A19"/>
                <w:sz w:val="20"/>
                <w:szCs w:val="20"/>
              </w:rPr>
              <w:t xml:space="preserve">30,9 h</w:t>
            </w:r>
          </w:p>
        </w:tc>
      </w:tr>
      <w:tr>
        <w:tc>
          <w:tcPr>
            <w:tcW w:type="dxa" w:w="700"/>
            <w:shd w:fill="F2F2F0" w:val="clear"/>
            <w:tcMar>
              <w:top w:type="dxa" w:w="60"/>
              <w:left w:type="dxa" w:w="100"/>
              <w:bottom w:type="dxa" w:w="60"/>
              <w:right w:type="dxa" w:w="100"/>
            </w:tcMar>
          </w:tcPr>
          <w:p>
            <w:r>
              <w:rPr>
                <w:b w:val="false"/>
                <w:bCs w:val="false"/>
                <w:color w:val="1A1A19"/>
                <w:sz w:val="20"/>
                <w:szCs w:val="20"/>
              </w:rPr>
              <w:t xml:space="preserve">6</w:t>
            </w:r>
          </w:p>
        </w:tc>
        <w:tc>
          <w:tcPr>
            <w:tcW w:type="dxa" w:w="900"/>
            <w:shd w:fill="F2F2F0" w:val="clear"/>
            <w:tcMar>
              <w:top w:type="dxa" w:w="60"/>
              <w:left w:type="dxa" w:w="100"/>
              <w:bottom w:type="dxa" w:w="60"/>
              <w:right w:type="dxa" w:w="100"/>
            </w:tcMar>
          </w:tcPr>
          <w:p>
            <w:r>
              <w:rPr>
                <w:b w:val="false"/>
                <w:bCs w:val="false"/>
                <w:color w:val="1A1A19"/>
                <w:sz w:val="20"/>
                <w:szCs w:val="20"/>
              </w:rPr>
              <w:t xml:space="preserve">3</w:t>
            </w:r>
          </w:p>
        </w:tc>
        <w:tc>
          <w:tcPr>
            <w:tcW w:type="dxa" w:w="900"/>
            <w:shd w:fill="F2F2F0" w:val="clear"/>
            <w:tcMar>
              <w:top w:type="dxa" w:w="60"/>
              <w:left w:type="dxa" w:w="100"/>
              <w:bottom w:type="dxa" w:w="60"/>
              <w:right w:type="dxa" w:w="100"/>
            </w:tcMar>
          </w:tcPr>
          <w:p>
            <w:r>
              <w:rPr>
                <w:b w:val="false"/>
                <w:bCs w:val="false"/>
                <w:color w:val="1A1A19"/>
                <w:sz w:val="20"/>
                <w:szCs w:val="20"/>
              </w:rPr>
              <w:t xml:space="preserve">Media</w:t>
            </w:r>
          </w:p>
        </w:tc>
        <w:tc>
          <w:tcPr>
            <w:tcW w:type="dxa" w:w="1500"/>
            <w:shd w:fill="F2F2F0" w:val="clear"/>
            <w:tcMar>
              <w:top w:type="dxa" w:w="60"/>
              <w:left w:type="dxa" w:w="100"/>
              <w:bottom w:type="dxa" w:w="60"/>
              <w:right w:type="dxa" w:w="100"/>
            </w:tcMar>
          </w:tcPr>
          <w:p>
            <w:r>
              <w:rPr>
                <w:b w:val="false"/>
                <w:bCs w:val="false"/>
                <w:color w:val="1A1A19"/>
                <w:sz w:val="20"/>
                <w:szCs w:val="20"/>
              </w:rPr>
              <w:t xml:space="preserve">148.035</w:t>
            </w:r>
          </w:p>
        </w:tc>
        <w:tc>
          <w:tcPr>
            <w:tcW w:type="dxa" w:w="1600"/>
            <w:shd w:fill="F2F2F0" w:val="clear"/>
            <w:tcMar>
              <w:top w:type="dxa" w:w="60"/>
              <w:left w:type="dxa" w:w="100"/>
              <w:bottom w:type="dxa" w:w="60"/>
              <w:right w:type="dxa" w:w="100"/>
            </w:tcMar>
          </w:tcPr>
          <w:p>
            <w:r>
              <w:rPr>
                <w:b w:val="false"/>
                <w:bCs w:val="false"/>
                <w:color w:val="1A1A19"/>
                <w:sz w:val="20"/>
                <w:szCs w:val="20"/>
              </w:rPr>
              <w:t xml:space="preserve">44,5 h</w:t>
            </w:r>
          </w:p>
        </w:tc>
        <w:tc>
          <w:tcPr>
            <w:tcW w:type="dxa" w:w="1100"/>
            <w:shd w:fill="F2F2F0" w:val="clear"/>
            <w:tcMar>
              <w:top w:type="dxa" w:w="60"/>
              <w:left w:type="dxa" w:w="100"/>
              <w:bottom w:type="dxa" w:w="60"/>
              <w:right w:type="dxa" w:w="100"/>
            </w:tcMar>
          </w:tcPr>
          <w:p>
            <w:r>
              <w:rPr>
                <w:b w:val="false"/>
                <w:bCs w:val="false"/>
                <w:color w:val="1A1A19"/>
                <w:sz w:val="20"/>
                <w:szCs w:val="20"/>
              </w:rPr>
              <w:t xml:space="preserve">84 h</w:t>
            </w:r>
          </w:p>
        </w:tc>
        <w:tc>
          <w:tcPr>
            <w:tcW w:type="dxa" w:w="1100"/>
            <w:shd w:fill="F2F2F0" w:val="clear"/>
            <w:tcMar>
              <w:top w:type="dxa" w:w="60"/>
              <w:left w:type="dxa" w:w="100"/>
              <w:bottom w:type="dxa" w:w="60"/>
              <w:right w:type="dxa" w:w="100"/>
            </w:tcMar>
          </w:tcPr>
          <w:p>
            <w:r>
              <w:rPr>
                <w:b w:val="false"/>
                <w:bCs w:val="false"/>
                <w:color w:val="1A1A19"/>
                <w:sz w:val="20"/>
                <w:szCs w:val="20"/>
              </w:rPr>
              <w:t xml:space="preserve">39,6 h</w:t>
            </w:r>
          </w:p>
        </w:tc>
      </w:tr>
      <w:tr>
        <w:tc>
          <w:tcPr>
            <w:tcW w:type="dxa" w:w="700"/>
            <w:tcMar>
              <w:top w:type="dxa" w:w="60"/>
              <w:left w:type="dxa" w:w="100"/>
              <w:bottom w:type="dxa" w:w="60"/>
              <w:right w:type="dxa" w:w="100"/>
            </w:tcMar>
          </w:tcPr>
          <w:p>
            <w:r>
              <w:rPr>
                <w:b w:val="false"/>
                <w:bCs w:val="false"/>
                <w:color w:val="1A1A19"/>
                <w:sz w:val="20"/>
                <w:szCs w:val="20"/>
              </w:rPr>
              <w:t xml:space="preserve">7</w:t>
            </w:r>
          </w:p>
        </w:tc>
        <w:tc>
          <w:tcPr>
            <w:tcW w:type="dxa" w:w="900"/>
            <w:tcMar>
              <w:top w:type="dxa" w:w="60"/>
              <w:left w:type="dxa" w:w="100"/>
              <w:bottom w:type="dxa" w:w="60"/>
              <w:right w:type="dxa" w:w="100"/>
            </w:tcMar>
          </w:tcPr>
          <w:p>
            <w:r>
              <w:rPr>
                <w:b w:val="false"/>
                <w:bCs w:val="false"/>
                <w:color w:val="1A1A19"/>
                <w:sz w:val="20"/>
                <w:szCs w:val="20"/>
              </w:rPr>
              <w:t xml:space="preserve">3</w:t>
            </w:r>
          </w:p>
        </w:tc>
        <w:tc>
          <w:tcPr>
            <w:tcW w:type="dxa" w:w="900"/>
            <w:tcMar>
              <w:top w:type="dxa" w:w="60"/>
              <w:left w:type="dxa" w:w="100"/>
              <w:bottom w:type="dxa" w:w="60"/>
              <w:right w:type="dxa" w:w="100"/>
            </w:tcMar>
          </w:tcPr>
          <w:p>
            <w:r>
              <w:rPr>
                <w:b w:val="false"/>
                <w:bCs w:val="false"/>
                <w:color w:val="1A1A19"/>
                <w:sz w:val="20"/>
                <w:szCs w:val="20"/>
              </w:rPr>
              <w:t xml:space="preserve">Alta</w:t>
            </w:r>
          </w:p>
        </w:tc>
        <w:tc>
          <w:tcPr>
            <w:tcW w:type="dxa" w:w="1500"/>
            <w:tcMar>
              <w:top w:type="dxa" w:w="60"/>
              <w:left w:type="dxa" w:w="100"/>
              <w:bottom w:type="dxa" w:w="60"/>
              <w:right w:type="dxa" w:w="100"/>
            </w:tcMar>
          </w:tcPr>
          <w:p>
            <w:r>
              <w:rPr>
                <w:b w:val="false"/>
                <w:bCs w:val="false"/>
                <w:color w:val="1A1A19"/>
                <w:sz w:val="20"/>
                <w:szCs w:val="20"/>
              </w:rPr>
              <w:t xml:space="preserve">181.168</w:t>
            </w:r>
          </w:p>
        </w:tc>
        <w:tc>
          <w:tcPr>
            <w:tcW w:type="dxa" w:w="1600"/>
            <w:tcMar>
              <w:top w:type="dxa" w:w="60"/>
              <w:left w:type="dxa" w:w="100"/>
              <w:bottom w:type="dxa" w:w="60"/>
              <w:right w:type="dxa" w:w="100"/>
            </w:tcMar>
          </w:tcPr>
          <w:p>
            <w:r>
              <w:rPr>
                <w:b w:val="false"/>
                <w:bCs w:val="false"/>
                <w:color w:val="1A1A19"/>
                <w:sz w:val="20"/>
                <w:szCs w:val="20"/>
              </w:rPr>
              <w:t xml:space="preserve">53,7 h</w:t>
            </w:r>
          </w:p>
        </w:tc>
        <w:tc>
          <w:tcPr>
            <w:tcW w:type="dxa" w:w="1100"/>
            <w:tcMar>
              <w:top w:type="dxa" w:w="60"/>
              <w:left w:type="dxa" w:w="100"/>
              <w:bottom w:type="dxa" w:w="60"/>
              <w:right w:type="dxa" w:w="100"/>
            </w:tcMar>
          </w:tcPr>
          <w:p>
            <w:r>
              <w:rPr>
                <w:b w:val="false"/>
                <w:bCs w:val="false"/>
                <w:color w:val="1A1A19"/>
                <w:sz w:val="20"/>
                <w:szCs w:val="20"/>
              </w:rPr>
              <w:t xml:space="preserve">84 h</w:t>
            </w:r>
          </w:p>
        </w:tc>
        <w:tc>
          <w:tcPr>
            <w:tcW w:type="dxa" w:w="1100"/>
            <w:tcMar>
              <w:top w:type="dxa" w:w="60"/>
              <w:left w:type="dxa" w:w="100"/>
              <w:bottom w:type="dxa" w:w="60"/>
              <w:right w:type="dxa" w:w="100"/>
            </w:tcMar>
          </w:tcPr>
          <w:p>
            <w:r>
              <w:rPr>
                <w:b w:val="false"/>
                <w:bCs w:val="false"/>
                <w:color w:val="1A1A19"/>
                <w:sz w:val="20"/>
                <w:szCs w:val="20"/>
              </w:rPr>
              <w:t xml:space="preserve">30,3 h</w:t>
            </w:r>
          </w:p>
        </w:tc>
      </w:tr>
      <w:tr>
        <w:tc>
          <w:tcPr>
            <w:tcW w:type="dxa" w:w="700"/>
            <w:shd w:fill="F2F2F0" w:val="clear"/>
            <w:tcMar>
              <w:top w:type="dxa" w:w="60"/>
              <w:left w:type="dxa" w:w="100"/>
              <w:bottom w:type="dxa" w:w="60"/>
              <w:right w:type="dxa" w:w="100"/>
            </w:tcMar>
          </w:tcPr>
          <w:p>
            <w:r>
              <w:rPr>
                <w:b w:val="false"/>
                <w:bCs w:val="false"/>
                <w:color w:val="1A1A19"/>
                <w:sz w:val="20"/>
                <w:szCs w:val="20"/>
              </w:rPr>
              <w:t xml:space="preserve">8</w:t>
            </w:r>
          </w:p>
        </w:tc>
        <w:tc>
          <w:tcPr>
            <w:tcW w:type="dxa" w:w="900"/>
            <w:shd w:fill="F2F2F0" w:val="clear"/>
            <w:tcMar>
              <w:top w:type="dxa" w:w="60"/>
              <w:left w:type="dxa" w:w="100"/>
              <w:bottom w:type="dxa" w:w="60"/>
              <w:right w:type="dxa" w:w="100"/>
            </w:tcMar>
          </w:tcPr>
          <w:p>
            <w:r>
              <w:rPr>
                <w:b w:val="false"/>
                <w:bCs w:val="false"/>
                <w:color w:val="1A1A19"/>
                <w:sz w:val="20"/>
                <w:szCs w:val="20"/>
              </w:rPr>
              <w:t xml:space="preserve">3</w:t>
            </w:r>
          </w:p>
        </w:tc>
        <w:tc>
          <w:tcPr>
            <w:tcW w:type="dxa" w:w="900"/>
            <w:shd w:fill="F2F2F0" w:val="clear"/>
            <w:tcMar>
              <w:top w:type="dxa" w:w="60"/>
              <w:left w:type="dxa" w:w="100"/>
              <w:bottom w:type="dxa" w:w="60"/>
              <w:right w:type="dxa" w:w="100"/>
            </w:tcMar>
          </w:tcPr>
          <w:p>
            <w:r>
              <w:rPr>
                <w:b w:val="false"/>
                <w:bCs w:val="false"/>
                <w:color w:val="1A1A19"/>
                <w:sz w:val="20"/>
                <w:szCs w:val="20"/>
              </w:rPr>
              <w:t xml:space="preserve">Media</w:t>
            </w:r>
          </w:p>
        </w:tc>
        <w:tc>
          <w:tcPr>
            <w:tcW w:type="dxa" w:w="1500"/>
            <w:shd w:fill="F2F2F0" w:val="clear"/>
            <w:tcMar>
              <w:top w:type="dxa" w:w="60"/>
              <w:left w:type="dxa" w:w="100"/>
              <w:bottom w:type="dxa" w:w="60"/>
              <w:right w:type="dxa" w:w="100"/>
            </w:tcMar>
          </w:tcPr>
          <w:p>
            <w:r>
              <w:rPr>
                <w:b w:val="false"/>
                <w:bCs w:val="false"/>
                <w:color w:val="1A1A19"/>
                <w:sz w:val="20"/>
                <w:szCs w:val="20"/>
              </w:rPr>
              <w:t xml:space="preserve">150.873</w:t>
            </w:r>
          </w:p>
        </w:tc>
        <w:tc>
          <w:tcPr>
            <w:tcW w:type="dxa" w:w="1600"/>
            <w:shd w:fill="F2F2F0" w:val="clear"/>
            <w:tcMar>
              <w:top w:type="dxa" w:w="60"/>
              <w:left w:type="dxa" w:w="100"/>
              <w:bottom w:type="dxa" w:w="60"/>
              <w:right w:type="dxa" w:w="100"/>
            </w:tcMar>
          </w:tcPr>
          <w:p>
            <w:r>
              <w:rPr>
                <w:b w:val="false"/>
                <w:bCs w:val="false"/>
                <w:color w:val="1A1A19"/>
                <w:sz w:val="20"/>
                <w:szCs w:val="20"/>
              </w:rPr>
              <w:t xml:space="preserve">45,2 h</w:t>
            </w:r>
          </w:p>
        </w:tc>
        <w:tc>
          <w:tcPr>
            <w:tcW w:type="dxa" w:w="1100"/>
            <w:shd w:fill="F2F2F0" w:val="clear"/>
            <w:tcMar>
              <w:top w:type="dxa" w:w="60"/>
              <w:left w:type="dxa" w:w="100"/>
              <w:bottom w:type="dxa" w:w="60"/>
              <w:right w:type="dxa" w:w="100"/>
            </w:tcMar>
          </w:tcPr>
          <w:p>
            <w:r>
              <w:rPr>
                <w:b w:val="false"/>
                <w:bCs w:val="false"/>
                <w:color w:val="1A1A19"/>
                <w:sz w:val="20"/>
                <w:szCs w:val="20"/>
              </w:rPr>
              <w:t xml:space="preserve">84 h</w:t>
            </w:r>
          </w:p>
        </w:tc>
        <w:tc>
          <w:tcPr>
            <w:tcW w:type="dxa" w:w="1100"/>
            <w:shd w:fill="F2F2F0" w:val="clear"/>
            <w:tcMar>
              <w:top w:type="dxa" w:w="60"/>
              <w:left w:type="dxa" w:w="100"/>
              <w:bottom w:type="dxa" w:w="60"/>
              <w:right w:type="dxa" w:w="100"/>
            </w:tcMar>
          </w:tcPr>
          <w:p>
            <w:r>
              <w:rPr>
                <w:b w:val="false"/>
                <w:bCs w:val="false"/>
                <w:color w:val="1A1A19"/>
                <w:sz w:val="20"/>
                <w:szCs w:val="20"/>
              </w:rPr>
              <w:t xml:space="preserve">38,8 h</w:t>
            </w:r>
          </w:p>
        </w:tc>
      </w:tr>
      <w:tr>
        <w:tc>
          <w:tcPr>
            <w:tcW w:type="dxa" w:w="700"/>
            <w:tcMar>
              <w:top w:type="dxa" w:w="60"/>
              <w:left w:type="dxa" w:w="100"/>
              <w:bottom w:type="dxa" w:w="60"/>
              <w:right w:type="dxa" w:w="100"/>
            </w:tcMar>
          </w:tcPr>
          <w:p>
            <w:r>
              <w:rPr>
                <w:b w:val="false"/>
                <w:bCs w:val="false"/>
                <w:color w:val="1A1A19"/>
                <w:sz w:val="20"/>
                <w:szCs w:val="20"/>
              </w:rPr>
              <w:t xml:space="preserve">9</w:t>
            </w:r>
          </w:p>
        </w:tc>
        <w:tc>
          <w:tcPr>
            <w:tcW w:type="dxa" w:w="900"/>
            <w:tcMar>
              <w:top w:type="dxa" w:w="60"/>
              <w:left w:type="dxa" w:w="100"/>
              <w:bottom w:type="dxa" w:w="60"/>
              <w:right w:type="dxa" w:w="100"/>
            </w:tcMar>
          </w:tcPr>
          <w:p>
            <w:r>
              <w:rPr>
                <w:b w:val="false"/>
                <w:bCs w:val="false"/>
                <w:color w:val="1A1A19"/>
                <w:sz w:val="20"/>
                <w:szCs w:val="20"/>
              </w:rPr>
              <w:t xml:space="preserve">3</w:t>
            </w:r>
          </w:p>
        </w:tc>
        <w:tc>
          <w:tcPr>
            <w:tcW w:type="dxa" w:w="900"/>
            <w:tcMar>
              <w:top w:type="dxa" w:w="60"/>
              <w:left w:type="dxa" w:w="100"/>
              <w:bottom w:type="dxa" w:w="60"/>
              <w:right w:type="dxa" w:w="100"/>
            </w:tcMar>
          </w:tcPr>
          <w:p>
            <w:r>
              <w:rPr>
                <w:b w:val="false"/>
                <w:bCs w:val="false"/>
                <w:color w:val="1A1A19"/>
                <w:sz w:val="20"/>
                <w:szCs w:val="20"/>
              </w:rPr>
              <w:t xml:space="preserve">Baja</w:t>
            </w:r>
          </w:p>
        </w:tc>
        <w:tc>
          <w:tcPr>
            <w:tcW w:type="dxa" w:w="1500"/>
            <w:tcMar>
              <w:top w:type="dxa" w:w="60"/>
              <w:left w:type="dxa" w:w="100"/>
              <w:bottom w:type="dxa" w:w="60"/>
              <w:right w:type="dxa" w:w="100"/>
            </w:tcMar>
          </w:tcPr>
          <w:p>
            <w:r>
              <w:rPr>
                <w:b w:val="false"/>
                <w:bCs w:val="false"/>
                <w:color w:val="1A1A19"/>
                <w:sz w:val="20"/>
                <w:szCs w:val="20"/>
              </w:rPr>
              <w:t xml:space="preserve">120.576</w:t>
            </w:r>
          </w:p>
        </w:tc>
        <w:tc>
          <w:tcPr>
            <w:tcW w:type="dxa" w:w="1600"/>
            <w:tcMar>
              <w:top w:type="dxa" w:w="60"/>
              <w:left w:type="dxa" w:w="100"/>
              <w:bottom w:type="dxa" w:w="60"/>
              <w:right w:type="dxa" w:w="100"/>
            </w:tcMar>
          </w:tcPr>
          <w:p>
            <w:r>
              <w:rPr>
                <w:b w:val="false"/>
                <w:bCs w:val="false"/>
                <w:color w:val="1A1A19"/>
                <w:sz w:val="20"/>
                <w:szCs w:val="20"/>
              </w:rPr>
              <w:t xml:space="preserve">36,8 h</w:t>
            </w:r>
          </w:p>
        </w:tc>
        <w:tc>
          <w:tcPr>
            <w:tcW w:type="dxa" w:w="1100"/>
            <w:tcMar>
              <w:top w:type="dxa" w:w="60"/>
              <w:left w:type="dxa" w:w="100"/>
              <w:bottom w:type="dxa" w:w="60"/>
              <w:right w:type="dxa" w:w="100"/>
            </w:tcMar>
          </w:tcPr>
          <w:p>
            <w:r>
              <w:rPr>
                <w:b w:val="false"/>
                <w:bCs w:val="false"/>
                <w:color w:val="1A1A19"/>
                <w:sz w:val="20"/>
                <w:szCs w:val="20"/>
              </w:rPr>
              <w:t xml:space="preserve">84 h</w:t>
            </w:r>
          </w:p>
        </w:tc>
        <w:tc>
          <w:tcPr>
            <w:tcW w:type="dxa" w:w="1100"/>
            <w:tcMar>
              <w:top w:type="dxa" w:w="60"/>
              <w:left w:type="dxa" w:w="100"/>
              <w:bottom w:type="dxa" w:w="60"/>
              <w:right w:type="dxa" w:w="100"/>
            </w:tcMar>
          </w:tcPr>
          <w:p>
            <w:r>
              <w:rPr>
                <w:b w:val="false"/>
                <w:bCs w:val="false"/>
                <w:color w:val="1A1A19"/>
                <w:sz w:val="20"/>
                <w:szCs w:val="20"/>
              </w:rPr>
              <w:t xml:space="preserve">47,2 h</w:t>
            </w:r>
          </w:p>
        </w:tc>
      </w:tr>
      <w:tr>
        <w:tc>
          <w:tcPr>
            <w:tcW w:type="dxa" w:w="700"/>
            <w:shd w:fill="F2F2F0" w:val="clear"/>
            <w:tcMar>
              <w:top w:type="dxa" w:w="60"/>
              <w:left w:type="dxa" w:w="100"/>
              <w:bottom w:type="dxa" w:w="60"/>
              <w:right w:type="dxa" w:w="100"/>
            </w:tcMar>
          </w:tcPr>
          <w:p>
            <w:r>
              <w:rPr>
                <w:b w:val="false"/>
                <w:bCs w:val="false"/>
                <w:color w:val="1A1A19"/>
                <w:sz w:val="20"/>
                <w:szCs w:val="20"/>
              </w:rPr>
              <w:t xml:space="preserve">10</w:t>
            </w:r>
          </w:p>
        </w:tc>
        <w:tc>
          <w:tcPr>
            <w:tcW w:type="dxa" w:w="900"/>
            <w:shd w:fill="F2F2F0" w:val="clear"/>
            <w:tcMar>
              <w:top w:type="dxa" w:w="60"/>
              <w:left w:type="dxa" w:w="100"/>
              <w:bottom w:type="dxa" w:w="60"/>
              <w:right w:type="dxa" w:w="100"/>
            </w:tcMar>
          </w:tcPr>
          <w:p>
            <w:r>
              <w:rPr>
                <w:b w:val="false"/>
                <w:bCs w:val="false"/>
                <w:color w:val="1A1A19"/>
                <w:sz w:val="20"/>
                <w:szCs w:val="20"/>
              </w:rPr>
              <w:t xml:space="preserve">3</w:t>
            </w:r>
          </w:p>
        </w:tc>
        <w:tc>
          <w:tcPr>
            <w:tcW w:type="dxa" w:w="900"/>
            <w:shd w:fill="F2F2F0" w:val="clear"/>
            <w:tcMar>
              <w:top w:type="dxa" w:w="60"/>
              <w:left w:type="dxa" w:w="100"/>
              <w:bottom w:type="dxa" w:w="60"/>
              <w:right w:type="dxa" w:w="100"/>
            </w:tcMar>
          </w:tcPr>
          <w:p>
            <w:r>
              <w:rPr>
                <w:b w:val="false"/>
                <w:bCs w:val="false"/>
                <w:color w:val="1A1A19"/>
                <w:sz w:val="20"/>
                <w:szCs w:val="20"/>
              </w:rPr>
              <w:t xml:space="preserve">Media</w:t>
            </w:r>
          </w:p>
        </w:tc>
        <w:tc>
          <w:tcPr>
            <w:tcW w:type="dxa" w:w="1500"/>
            <w:shd w:fill="F2F2F0" w:val="clear"/>
            <w:tcMar>
              <w:top w:type="dxa" w:w="60"/>
              <w:left w:type="dxa" w:w="100"/>
              <w:bottom w:type="dxa" w:w="60"/>
              <w:right w:type="dxa" w:w="100"/>
            </w:tcMar>
          </w:tcPr>
          <w:p>
            <w:r>
              <w:rPr>
                <w:b w:val="false"/>
                <w:bCs w:val="false"/>
                <w:color w:val="1A1A19"/>
                <w:sz w:val="20"/>
                <w:szCs w:val="20"/>
              </w:rPr>
              <w:t xml:space="preserve">109.877</w:t>
            </w:r>
          </w:p>
        </w:tc>
        <w:tc>
          <w:tcPr>
            <w:tcW w:type="dxa" w:w="1600"/>
            <w:shd w:fill="F2F2F0" w:val="clear"/>
            <w:tcMar>
              <w:top w:type="dxa" w:w="60"/>
              <w:left w:type="dxa" w:w="100"/>
              <w:bottom w:type="dxa" w:w="60"/>
              <w:right w:type="dxa" w:w="100"/>
            </w:tcMar>
          </w:tcPr>
          <w:p>
            <w:r>
              <w:rPr>
                <w:b w:val="false"/>
                <w:bCs w:val="false"/>
                <w:color w:val="1A1A19"/>
                <w:sz w:val="20"/>
                <w:szCs w:val="20"/>
              </w:rPr>
              <w:t xml:space="preserve">33,8 h</w:t>
            </w:r>
          </w:p>
        </w:tc>
        <w:tc>
          <w:tcPr>
            <w:tcW w:type="dxa" w:w="1100"/>
            <w:shd w:fill="F2F2F0" w:val="clear"/>
            <w:tcMar>
              <w:top w:type="dxa" w:w="60"/>
              <w:left w:type="dxa" w:w="100"/>
              <w:bottom w:type="dxa" w:w="60"/>
              <w:right w:type="dxa" w:w="100"/>
            </w:tcMar>
          </w:tcPr>
          <w:p>
            <w:r>
              <w:rPr>
                <w:b w:val="false"/>
                <w:bCs w:val="false"/>
                <w:color w:val="1A1A19"/>
                <w:sz w:val="20"/>
                <w:szCs w:val="20"/>
              </w:rPr>
              <w:t xml:space="preserve">84 h</w:t>
            </w:r>
          </w:p>
        </w:tc>
        <w:tc>
          <w:tcPr>
            <w:tcW w:type="dxa" w:w="1100"/>
            <w:shd w:fill="F2F2F0" w:val="clear"/>
            <w:tcMar>
              <w:top w:type="dxa" w:w="60"/>
              <w:left w:type="dxa" w:w="100"/>
              <w:bottom w:type="dxa" w:w="60"/>
              <w:right w:type="dxa" w:w="100"/>
            </w:tcMar>
          </w:tcPr>
          <w:p>
            <w:r>
              <w:rPr>
                <w:b w:val="false"/>
                <w:bCs w:val="false"/>
                <w:color w:val="1A1A19"/>
                <w:sz w:val="20"/>
                <w:szCs w:val="20"/>
              </w:rPr>
              <w:t xml:space="preserve">50,2 h</w:t>
            </w:r>
          </w:p>
        </w:tc>
      </w:tr>
      <w:tr>
        <w:tc>
          <w:tcPr>
            <w:tcW w:type="dxa" w:w="700"/>
            <w:tcMar>
              <w:top w:type="dxa" w:w="60"/>
              <w:left w:type="dxa" w:w="100"/>
              <w:bottom w:type="dxa" w:w="60"/>
              <w:right w:type="dxa" w:w="100"/>
            </w:tcMar>
          </w:tcPr>
          <w:p>
            <w:r>
              <w:rPr>
                <w:b w:val="false"/>
                <w:bCs w:val="false"/>
                <w:color w:val="1A1A19"/>
                <w:sz w:val="20"/>
                <w:szCs w:val="20"/>
              </w:rPr>
              <w:t xml:space="preserve">11</w:t>
            </w:r>
          </w:p>
        </w:tc>
        <w:tc>
          <w:tcPr>
            <w:tcW w:type="dxa" w:w="900"/>
            <w:tcMar>
              <w:top w:type="dxa" w:w="60"/>
              <w:left w:type="dxa" w:w="100"/>
              <w:bottom w:type="dxa" w:w="60"/>
              <w:right w:type="dxa" w:w="100"/>
            </w:tcMar>
          </w:tcPr>
          <w:p>
            <w:r>
              <w:rPr>
                <w:b w:val="false"/>
                <w:bCs w:val="false"/>
                <w:color w:val="1A1A19"/>
                <w:sz w:val="20"/>
                <w:szCs w:val="20"/>
              </w:rPr>
              <w:t xml:space="preserve">3</w:t>
            </w:r>
          </w:p>
        </w:tc>
        <w:tc>
          <w:tcPr>
            <w:tcW w:type="dxa" w:w="900"/>
            <w:tcMar>
              <w:top w:type="dxa" w:w="60"/>
              <w:left w:type="dxa" w:w="100"/>
              <w:bottom w:type="dxa" w:w="60"/>
              <w:right w:type="dxa" w:w="100"/>
            </w:tcMar>
          </w:tcPr>
          <w:p>
            <w:r>
              <w:rPr>
                <w:b w:val="false"/>
                <w:bCs w:val="false"/>
                <w:color w:val="1A1A19"/>
                <w:sz w:val="20"/>
                <w:szCs w:val="20"/>
              </w:rPr>
              <w:t xml:space="preserve">Baja</w:t>
            </w:r>
          </w:p>
        </w:tc>
        <w:tc>
          <w:tcPr>
            <w:tcW w:type="dxa" w:w="1500"/>
            <w:tcMar>
              <w:top w:type="dxa" w:w="60"/>
              <w:left w:type="dxa" w:w="100"/>
              <w:bottom w:type="dxa" w:w="60"/>
              <w:right w:type="dxa" w:w="100"/>
            </w:tcMar>
          </w:tcPr>
          <w:p>
            <w:r>
              <w:rPr>
                <w:b w:val="false"/>
                <w:bCs w:val="false"/>
                <w:color w:val="1A1A19"/>
                <w:sz w:val="20"/>
                <w:szCs w:val="20"/>
              </w:rPr>
              <w:t xml:space="preserve">99.168</w:t>
            </w:r>
          </w:p>
        </w:tc>
        <w:tc>
          <w:tcPr>
            <w:tcW w:type="dxa" w:w="1600"/>
            <w:tcMar>
              <w:top w:type="dxa" w:w="60"/>
              <w:left w:type="dxa" w:w="100"/>
              <w:bottom w:type="dxa" w:w="60"/>
              <w:right w:type="dxa" w:w="100"/>
            </w:tcMar>
          </w:tcPr>
          <w:p>
            <w:r>
              <w:rPr>
                <w:b w:val="false"/>
                <w:bCs w:val="false"/>
                <w:color w:val="1A1A19"/>
                <w:sz w:val="20"/>
                <w:szCs w:val="20"/>
              </w:rPr>
              <w:t xml:space="preserve">30,8 h</w:t>
            </w:r>
          </w:p>
        </w:tc>
        <w:tc>
          <w:tcPr>
            <w:tcW w:type="dxa" w:w="1100"/>
            <w:tcMar>
              <w:top w:type="dxa" w:w="60"/>
              <w:left w:type="dxa" w:w="100"/>
              <w:bottom w:type="dxa" w:w="60"/>
              <w:right w:type="dxa" w:w="100"/>
            </w:tcMar>
          </w:tcPr>
          <w:p>
            <w:r>
              <w:rPr>
                <w:b w:val="false"/>
                <w:bCs w:val="false"/>
                <w:color w:val="1A1A19"/>
                <w:sz w:val="20"/>
                <w:szCs w:val="20"/>
              </w:rPr>
              <w:t xml:space="preserve">84 h</w:t>
            </w:r>
          </w:p>
        </w:tc>
        <w:tc>
          <w:tcPr>
            <w:tcW w:type="dxa" w:w="1100"/>
            <w:tcMar>
              <w:top w:type="dxa" w:w="60"/>
              <w:left w:type="dxa" w:w="100"/>
              <w:bottom w:type="dxa" w:w="60"/>
              <w:right w:type="dxa" w:w="100"/>
            </w:tcMar>
          </w:tcPr>
          <w:p>
            <w:r>
              <w:rPr>
                <w:b w:val="false"/>
                <w:bCs w:val="false"/>
                <w:color w:val="1A1A19"/>
                <w:sz w:val="20"/>
                <w:szCs w:val="20"/>
              </w:rPr>
              <w:t xml:space="preserve">53,2 h</w:t>
            </w:r>
          </w:p>
        </w:tc>
      </w:tr>
    </w:tbl>
    <w:p>
      <w:pPr>
        <w:spacing w:after="280"/>
        <w:jc w:val="center"/>
      </w:pPr>
      <w:r>
        <w:rPr>
          <w:i/>
          <w:iCs/>
          <w:color w:val="52514E"/>
          <w:sz w:val="19"/>
          <w:szCs w:val="19"/>
        </w:rPr>
        <w:t xml:space="preserve">Tabla 2. Horas de línea requeridas por nodo vs. capacidad disponible, caso extremo sin postergación. Fuente: resultados/tablas/chequeo_capacidad.csv</w:t>
      </w:r>
    </w:p>
    <w:p>
      <w:pPr>
        <w:spacing w:after="160" w:line="276"/>
      </w:pPr>
      <w:r>
        <w:rPr>
          <w:sz w:val="22"/>
          <w:szCs w:val="22"/>
        </w:rPr>
        <w:t xml:space="preserve">Ningún nodo supera las 84 horas disponibles, ni siquiera en este escenario extremo. La holgura mínima se da en el nodo 2 (período 2, estado alto de demanda), con 29,5 horas libres de un total de 84 — es decir, incluso el nodo más ajustado usa poco más del 60% de la capacidad. Esto indica que, para esta instancia de datos, la capacidad de la línea de envasado no es la restricción activa del problema: el desafío del proyecto pasa más bien por decidir cuánto conviene postergar el etiquetado para manejar mejor los estanques intermedios, el inventario de botellas sin etiquetar y el altísimo costo de backorder (15.000 $/botella·período) bajo la incertidumbre de la demanda, no por si la línea alcanza a producir.</w:t>
      </w:r>
    </w:p>
    <w:p>
      <w:pPr>
        <w:spacing w:after="80" w:before="120"/>
        <w:jc w:val="center"/>
      </w:pPr>
      <w:r>
        <w:drawing>
          <wp:inline distT="0" distB="0" distL="0" distR="0">
            <wp:extent cx="566737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552700"/>
                    </a:xfrm>
                    <a:prstGeom prst="rect">
                      <a:avLst/>
                    </a:prstGeom>
                  </pic:spPr>
                </pic:pic>
              </a:graphicData>
            </a:graphic>
          </wp:inline>
        </w:drawing>
      </w:r>
    </w:p>
    <w:p>
      <w:pPr>
        <w:spacing w:after="280"/>
        <w:jc w:val="center"/>
      </w:pPr>
      <w:r>
        <w:rPr>
          <w:i/>
          <w:iCs/>
          <w:color w:val="52514E"/>
          <w:sz w:val="19"/>
          <w:szCs w:val="19"/>
        </w:rPr>
        <w:t xml:space="preserve">Figura 6. Mapa de calor de la demanda por producto y nodo (botellas).</w:t>
      </w:r>
    </w:p>
    <w:p>
      <w:r>
        <w:br w:type="page"/>
      </w:r>
    </w:p>
    <w:p>
      <w:pPr>
        <w:pStyle w:val="Heading1"/>
        <w:spacing w:after="160" w:before="360"/>
      </w:pPr>
      <w:r>
        <w:t xml:space="preserve">3. Conclusiones</w:t>
      </w:r>
    </w:p>
    <w:p>
      <w:pPr>
        <w:spacing w:after="160" w:line="276"/>
      </w:pPr>
      <w:r>
        <w:rPr>
          <w:sz w:val="22"/>
          <w:szCs w:val="22"/>
        </w:rPr>
        <w:t xml:space="preserve">Los datos del Anexo A son internamente consistentes: el árbol de 11 nodos cumple sus propiedades de probabilidad, y los patrones de correlación de demanda que describe el enunciado se confirman numéricamente en las 5 series de demanda. Esto da confianza para usar estos datos directamente como parámetros del modelo de optimización, sin necesidad de correcciones.</w:t>
      </w:r>
    </w:p>
    <w:p>
      <w:pPr>
        <w:spacing w:after="160" w:line="276"/>
      </w:pPr>
      <w:r>
        <w:rPr>
          <w:sz w:val="22"/>
          <w:szCs w:val="22"/>
        </w:rPr>
        <w:t xml:space="preserve">Tres hallazgos concretos deberían orientar el diseño del modelo:</w:t>
      </w:r>
    </w:p>
    <w:p>
      <w:pPr>
        <w:pStyle w:val="ListParagraph"/>
        <w:numPr>
          <w:ilvl w:val="0"/>
          <w:numId w:val="4"/>
        </w:numPr>
        <w:spacing w:after="80"/>
      </w:pPr>
      <w:r>
        <w:rPr>
          <w:sz w:val="22"/>
          <w:szCs w:val="22"/>
        </w:rPr>
        <w:t xml:space="preserve">La demanda es heterogénea en variabilidad: el producto (1,1) es el más grande y también el más volátil (CV = 0,59), mientras que los productos del Vino 2 son comparativamente estables (CV ≈ 0,33). El modelo debería esperar que la política óptima de postergación no sea uniforme entre vinos, sino que dependa de esta diferencia de variabilidad.</w:t>
      </w:r>
    </w:p>
    <w:p>
      <w:pPr>
        <w:pStyle w:val="ListParagraph"/>
        <w:numPr>
          <w:ilvl w:val="0"/>
          <w:numId w:val="4"/>
        </w:numPr>
        <w:spacing w:after="80"/>
      </w:pPr>
      <w:r>
        <w:rPr>
          <w:sz w:val="22"/>
          <w:szCs w:val="22"/>
        </w:rPr>
        <w:t xml:space="preserve">La correlación negativa entre las tres etiquetas del Vino 1 es la señal más clara a favor de postergar el etiquetado en ese vino: una botella sin etiquetar puede absorber demanda alta de una etiqueta y demanda baja de otra, lo que en teoría de inventarios reduce el inventario de seguridad total necesario (efecto de pooling). Los productos del Vino 2, en cambio, casi no se benefician de este efecto entre sí (correlación 0,98), aunque sí correlacionan con (1,1), lo que abre la pregunta de si conviene permitir postergación cruzada entre vinos si el enunciado lo permite.</w:t>
      </w:r>
    </w:p>
    <w:p>
      <w:pPr>
        <w:pStyle w:val="ListParagraph"/>
        <w:numPr>
          <w:ilvl w:val="0"/>
          <w:numId w:val="4"/>
        </w:numPr>
        <w:spacing w:after="80"/>
      </w:pPr>
      <w:r>
        <w:rPr>
          <w:sz w:val="22"/>
          <w:szCs w:val="22"/>
        </w:rPr>
        <w:t xml:space="preserve">La capacidad de línea (84 horas/período) tiene holgura amplia incluso en el escenario que menos aprovecha la postergación (mínimo 29,5 horas libres, en el nodo de mayor demanda). Esto sugiere que, en esta instancia, la capacidad no será una restricción activa en el óptimo, y que el valor de postergar el etiquetado se va a ver reflejado principalmente en menores costos de inventario y de backorder, no en la factibilidad de cumplir la demanda.</w:t>
      </w:r>
    </w:p>
    <w:p>
      <w:pPr>
        <w:spacing w:after="160" w:line="276"/>
      </w:pPr>
      <w:r>
        <w:rPr>
          <w:sz w:val="22"/>
          <w:szCs w:val="22"/>
        </w:rPr>
        <w:t xml:space="preserve">Como siguiente paso, se recomienda usar directamente el diccionario de datos que entrega cargar_todo() (en cargar_datos.py) para construir los parámetros del modelo de optimización — así se evita duplicar la lógica de lectura del Excel y cualquier actualización futura del Anexo A se propaga automáticamente. También conviene apoyarse en la hoja de Niveles de referencia (variabilidad 10/30/50%, capacidad 21/42/63/84 horas, 0 a 5 etiquetas postergables, correlación positiva/negativa) para diseñar el análisis de sensibilidad que pide el enunciado, ya que este análisis exploratorio deja instalada la línea base sobre la cual comparar esos escenarios.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3C2B7" w:sz="6" w:space="4"/>
      </w:pBdr>
      <w:spacing w:after="160" w:before="360"/>
    </w:pPr>
    <w:rPr>
      <w:rFonts w:ascii="Calibri" w:cs="Calibri" w:eastAsia="Calibri" w:hAnsi="Calibri"/>
      <w:b/>
      <w:bCs/>
      <w:color w:val="2A78D6"/>
      <w:sz w:val="30"/>
      <w:szCs w:val="30"/>
    </w:rPr>
  </w:style>
  <w:style w:type="paragraph" w:styleId="Heading2">
    <w:name w:val="Heading 2"/>
    <w:basedOn w:val="Normal"/>
    <w:next w:val="Normal"/>
    <w:qFormat/>
    <w:pPr>
      <w:spacing w:after="120" w:before="280"/>
    </w:pPr>
    <w:rPr>
      <w:rFonts w:ascii="Calibri" w:cs="Calibri" w:eastAsia="Calibri" w:hAnsi="Calibri"/>
      <w:b/>
      <w:bCs/>
      <w:color w:val="1A1A1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d4b1a6ce9fe2d5eb800afc7253773c0c131a96.png"/><Relationship Id="rId8" Type="http://schemas.openxmlformats.org/officeDocument/2006/relationships/image" Target="media/f646a110edee5e1fc295ef1b8947747f2d75bc81.png"/><Relationship Id="rId9" Type="http://schemas.openxmlformats.org/officeDocument/2006/relationships/image" Target="media/dc8d4072107e705502ef7c704d913bc6e3f735ed.png"/><Relationship Id="rId10" Type="http://schemas.openxmlformats.org/officeDocument/2006/relationships/image" Target="media/100f32eb776606b508e6392cced5eee2e11f41f8.png"/><Relationship Id="rId11" Type="http://schemas.openxmlformats.org/officeDocument/2006/relationships/image" Target="media/be98ef504a3080f5954125b73162215a8aec82c2.png"/><Relationship Id="rId12" Type="http://schemas.openxmlformats.org/officeDocument/2006/relationships/image" Target="media/82d7b7116eb1cd2b452a44e084a4ba9ef1dc8f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2026-08-23T19:23:07.622Z</dcterms:created>
  <dcterms:modified xsi:type="dcterms:W3CDTF">2026-08-23T19:23:07.622Z</dcterms:modified>
</cp:coreProperties>
</file>

<file path=docProps/custom.xml><?xml version="1.0" encoding="utf-8"?>
<Properties xmlns="http://schemas.openxmlformats.org/officeDocument/2006/custom-properties" xmlns:vt="http://schemas.openxmlformats.org/officeDocument/2006/docPropsVTypes"/>
</file>