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85F55" w14:textId="77777777" w:rsidR="00D644E9" w:rsidRPr="00486059" w:rsidRDefault="000600CA">
      <w:pPr>
        <w:pStyle w:val="Heading1"/>
        <w:rPr>
          <w:lang w:val="es-ES"/>
        </w:rPr>
      </w:pPr>
      <w:r w:rsidRPr="00486059">
        <w:rPr>
          <w:lang w:val="es-ES"/>
        </w:rPr>
        <w:t>Checklist de producción, seguridad y GenAIOps para agentes en Microsoft Foundry</w:t>
      </w:r>
    </w:p>
    <w:p w14:paraId="71BE0A0E" w14:textId="77777777" w:rsidR="00D644E9" w:rsidRPr="00486059" w:rsidRDefault="000600CA">
      <w:pPr>
        <w:rPr>
          <w:lang w:val="es-ES"/>
        </w:rPr>
      </w:pPr>
      <w:r>
        <w:rPr>
          <w:i/>
        </w:rPr>
        <w:t xml:space="preserve">Entregable del Día 3 · Microsoft AI Foundry BCI Training Day · L300. </w:t>
      </w:r>
      <w:r w:rsidRPr="00486059">
        <w:rPr>
          <w:i/>
          <w:lang w:val="es-ES"/>
        </w:rPr>
        <w:t>Plantilla reutilizable: aplícala a tu caso real (el caso Austral Bank es ficticio). Los ítems son una adaptación propia de la documentación oficial; las funciones en preview están marcadas como tales y su estado puede cambiar, así que confirma en la página vinculada antes de decidir.</w:t>
      </w:r>
    </w:p>
    <w:p w14:paraId="2294B48C" w14:textId="77777777" w:rsidR="00D644E9" w:rsidRPr="00486059" w:rsidRDefault="000600CA">
      <w:pPr>
        <w:pStyle w:val="Heading2"/>
        <w:rPr>
          <w:lang w:val="es-ES"/>
        </w:rPr>
      </w:pPr>
      <w:r w:rsidRPr="00486059">
        <w:rPr>
          <w:lang w:val="es-ES"/>
        </w:rPr>
        <w:t>Cómo usarla</w:t>
      </w:r>
    </w:p>
    <w:p w14:paraId="3DDF2345" w14:textId="77777777" w:rsidR="00D644E9" w:rsidRPr="00486059" w:rsidRDefault="000600CA">
      <w:pPr>
        <w:ind w:left="340" w:hanging="283"/>
        <w:rPr>
          <w:lang w:val="es-ES"/>
        </w:rPr>
      </w:pPr>
      <w:r w:rsidRPr="00486059">
        <w:rPr>
          <w:lang w:val="es-ES"/>
        </w:rPr>
        <w:t>1. Recorre un grupo a la vez con tu equipo y marca cada ítem como ☑ cumplido, ◐ parcial, ☐ pendiente o N/A (con justificación).</w:t>
      </w:r>
    </w:p>
    <w:p w14:paraId="3458E1B0" w14:textId="77777777" w:rsidR="00D644E9" w:rsidRPr="00486059" w:rsidRDefault="000600CA">
      <w:pPr>
        <w:ind w:left="340" w:hanging="283"/>
        <w:rPr>
          <w:lang w:val="es-ES"/>
        </w:rPr>
      </w:pPr>
      <w:r w:rsidRPr="00486059">
        <w:rPr>
          <w:lang w:val="es-ES"/>
        </w:rPr>
        <w:t>2. Todo ítem ☐ o ◐ debe terminar en una fila del backlog (PoC, test o habilitador) con dueño y criterio de éxito, igual que en el paso 5 del workshop.</w:t>
      </w:r>
    </w:p>
    <w:p w14:paraId="50D6EBB0" w14:textId="77777777" w:rsidR="00D644E9" w:rsidRPr="00486059" w:rsidRDefault="000600CA">
      <w:pPr>
        <w:ind w:left="340" w:hanging="283"/>
        <w:rPr>
          <w:lang w:val="es-ES"/>
        </w:rPr>
      </w:pPr>
      <w:r w:rsidRPr="00486059">
        <w:rPr>
          <w:lang w:val="es-ES"/>
        </w:rPr>
        <w:t xml:space="preserve">3. Una decisión no cubierta por la lista se registra como ADR (ver </w:t>
      </w:r>
      <w:r w:rsidRPr="00486059">
        <w:rPr>
          <w:rFonts w:ascii="Consolas" w:eastAsia="Consolas" w:hAnsi="Consolas"/>
          <w:lang w:val="es-ES"/>
        </w:rPr>
        <w:t>ADR-plantilla</w:t>
      </w:r>
      <w:r w:rsidRPr="00486059">
        <w:rPr>
          <w:lang w:val="es-ES"/>
        </w:rPr>
        <w:t>). La lista es un piso, no un techo: no sustituye la revisión de seguridad ni de cumplimiento de tu organización.</w:t>
      </w:r>
    </w:p>
    <w:p w14:paraId="601C951A" w14:textId="77777777" w:rsidR="00D644E9" w:rsidRPr="00486059" w:rsidRDefault="000600CA">
      <w:pPr>
        <w:ind w:left="340" w:hanging="283"/>
        <w:rPr>
          <w:lang w:val="es-ES"/>
        </w:rPr>
      </w:pPr>
      <w:r w:rsidRPr="00486059">
        <w:rPr>
          <w:lang w:val="es-ES"/>
        </w:rPr>
        <w:t xml:space="preserve">4. “Ruta offline” se refiere a la copia local de la documentación (carpeta </w:t>
      </w:r>
      <w:r w:rsidRPr="00486059">
        <w:rPr>
          <w:rFonts w:ascii="Consolas" w:eastAsia="Consolas" w:hAnsi="Consolas"/>
          <w:lang w:val="es-ES"/>
        </w:rPr>
        <w:t>docs-oficiales</w:t>
      </w:r>
      <w:r w:rsidRPr="00486059">
        <w:rPr>
          <w:lang w:val="es-ES"/>
        </w:rPr>
        <w:t>), para trabajar sin conexión.</w:t>
      </w:r>
    </w:p>
    <w:p w14:paraId="4391024D" w14:textId="77777777" w:rsidR="00D644E9" w:rsidRPr="00486059" w:rsidRDefault="000600CA">
      <w:pPr>
        <w:rPr>
          <w:lang w:val="es-ES"/>
        </w:rPr>
      </w:pPr>
      <w:r w:rsidRPr="00486059">
        <w:rPr>
          <w:b/>
          <w:lang w:val="es-ES"/>
        </w:rPr>
        <w:t>Total: 43 ítems en 10 grupos.</w:t>
      </w:r>
    </w:p>
    <w:p w14:paraId="2D12277B" w14:textId="77777777" w:rsidR="00D644E9" w:rsidRPr="00486059" w:rsidRDefault="000600CA">
      <w:pPr>
        <w:pStyle w:val="Heading2"/>
        <w:rPr>
          <w:lang w:val="es-ES"/>
        </w:rPr>
      </w:pPr>
      <w:r w:rsidRPr="00486059">
        <w:rPr>
          <w:lang w:val="es-ES"/>
        </w:rPr>
        <w:t>A. Arquitectura y diseño</w:t>
      </w:r>
    </w:p>
    <w:tbl>
      <w:tblPr>
        <w:tblStyle w:val="TableGrid"/>
        <w:tblW w:w="0" w:type="auto"/>
        <w:jc w:val="center"/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626"/>
        <w:gridCol w:w="512"/>
        <w:gridCol w:w="4553"/>
        <w:gridCol w:w="3756"/>
        <w:gridCol w:w="2959"/>
        <w:gridCol w:w="2732"/>
      </w:tblGrid>
      <w:tr w:rsidR="00D644E9" w14:paraId="31D242D4" w14:textId="77777777">
        <w:trPr>
          <w:tblHeader/>
          <w:jc w:val="center"/>
        </w:trPr>
        <w:tc>
          <w:tcPr>
            <w:tcW w:w="626" w:type="dxa"/>
            <w:shd w:val="clear" w:color="auto" w:fill="0078D4"/>
          </w:tcPr>
          <w:p w14:paraId="2C81558E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Hecho</w:t>
            </w:r>
          </w:p>
        </w:tc>
        <w:tc>
          <w:tcPr>
            <w:tcW w:w="512" w:type="dxa"/>
            <w:shd w:val="clear" w:color="auto" w:fill="0078D4"/>
          </w:tcPr>
          <w:p w14:paraId="78BBE114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4553" w:type="dxa"/>
            <w:shd w:val="clear" w:color="auto" w:fill="0078D4"/>
          </w:tcPr>
          <w:p w14:paraId="5AB6BAD1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Ítem a verificar</w:t>
            </w:r>
          </w:p>
        </w:tc>
        <w:tc>
          <w:tcPr>
            <w:tcW w:w="3756" w:type="dxa"/>
            <w:shd w:val="clear" w:color="auto" w:fill="0078D4"/>
          </w:tcPr>
          <w:p w14:paraId="2F29DC30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Por qué importa</w:t>
            </w:r>
          </w:p>
        </w:tc>
        <w:tc>
          <w:tcPr>
            <w:tcW w:w="2959" w:type="dxa"/>
            <w:shd w:val="clear" w:color="auto" w:fill="0078D4"/>
          </w:tcPr>
          <w:p w14:paraId="73F0E55E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Referencia oficial (Learn)</w:t>
            </w:r>
          </w:p>
        </w:tc>
        <w:tc>
          <w:tcPr>
            <w:tcW w:w="2732" w:type="dxa"/>
            <w:shd w:val="clear" w:color="auto" w:fill="0078D4"/>
          </w:tcPr>
          <w:p w14:paraId="7B9C2F5F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Ruta offline (`docs-oficiales\`)</w:t>
            </w:r>
          </w:p>
        </w:tc>
      </w:tr>
      <w:tr w:rsidR="00D644E9" w14:paraId="0DD9A1BF" w14:textId="77777777">
        <w:trPr>
          <w:cantSplit/>
          <w:jc w:val="center"/>
        </w:trPr>
        <w:tc>
          <w:tcPr>
            <w:tcW w:w="626" w:type="dxa"/>
          </w:tcPr>
          <w:p w14:paraId="6A5A8778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2E0BF93C" w14:textId="77777777" w:rsidR="00D644E9" w:rsidRDefault="000600CA">
            <w:pPr>
              <w:spacing w:after="0"/>
            </w:pPr>
            <w:r>
              <w:rPr>
                <w:sz w:val="16"/>
              </w:rPr>
              <w:t>A1</w:t>
            </w:r>
          </w:p>
        </w:tc>
        <w:tc>
          <w:tcPr>
            <w:tcW w:w="4553" w:type="dxa"/>
          </w:tcPr>
          <w:p w14:paraId="1C654931" w14:textId="77777777" w:rsidR="00D644E9" w:rsidRPr="00486059" w:rsidRDefault="000600CA">
            <w:pPr>
              <w:spacing w:after="0"/>
              <w:rPr>
                <w:lang w:val="es-ES"/>
              </w:rPr>
            </w:pPr>
            <w:r w:rsidRPr="00486059">
              <w:rPr>
                <w:sz w:val="16"/>
                <w:lang w:val="es-ES"/>
              </w:rPr>
              <w:t>Cada decisión de arquitectura relevante (canal, identidad, sesión, patrón de agente, tools y datos) tiene un ADR con opciones, criterio y supuestos, y arrancas con el patrón más simple que cumple el caso.</w:t>
            </w:r>
          </w:p>
        </w:tc>
        <w:tc>
          <w:tcPr>
            <w:tcW w:w="3756" w:type="dxa"/>
          </w:tcPr>
          <w:p w14:paraId="74B5A0D5" w14:textId="77777777" w:rsidR="00D644E9" w:rsidRPr="00486059" w:rsidRDefault="000600CA">
            <w:pPr>
              <w:spacing w:after="0"/>
              <w:rPr>
                <w:lang w:val="es-ES"/>
              </w:rPr>
            </w:pPr>
            <w:r w:rsidRPr="00486059">
              <w:rPr>
                <w:sz w:val="16"/>
                <w:lang w:val="es-ES"/>
              </w:rPr>
              <w:t>Sin criterio escrito, las decisiones se reabren en cada revisión y los supuestos nunca se validan; cada capa extra de complejidad se paga en operación.</w:t>
            </w:r>
          </w:p>
        </w:tc>
        <w:tc>
          <w:tcPr>
            <w:tcW w:w="2959" w:type="dxa"/>
          </w:tcPr>
          <w:p w14:paraId="76E808E1" w14:textId="77777777" w:rsidR="00D644E9" w:rsidRPr="00486059" w:rsidRDefault="000600CA">
            <w:pPr>
              <w:spacing w:after="0"/>
              <w:rPr>
                <w:lang w:val="es-ES"/>
              </w:rPr>
            </w:pPr>
            <w:hyperlink r:id="rId6">
              <w:r w:rsidRPr="00486059">
                <w:rPr>
                  <w:color w:val="0563C1"/>
                  <w:sz w:val="16"/>
                  <w:u w:val="single"/>
                  <w:lang w:val="es-ES"/>
                </w:rPr>
                <w:t>Patrones de diseño de agentes</w:t>
              </w:r>
            </w:hyperlink>
          </w:p>
        </w:tc>
        <w:tc>
          <w:tcPr>
            <w:tcW w:w="2732" w:type="dxa"/>
          </w:tcPr>
          <w:p w14:paraId="3EA9A988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architecture-center-ai\ai-ml\guide\ai-agent-design-patterns.md</w:t>
            </w:r>
          </w:p>
        </w:tc>
      </w:tr>
      <w:tr w:rsidR="00D644E9" w14:paraId="0B7A410F" w14:textId="77777777">
        <w:trPr>
          <w:cantSplit/>
          <w:jc w:val="center"/>
        </w:trPr>
        <w:tc>
          <w:tcPr>
            <w:tcW w:w="626" w:type="dxa"/>
          </w:tcPr>
          <w:p w14:paraId="711EDFF8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48832727" w14:textId="77777777" w:rsidR="00D644E9" w:rsidRDefault="000600CA">
            <w:pPr>
              <w:spacing w:after="0"/>
            </w:pPr>
            <w:r>
              <w:rPr>
                <w:sz w:val="16"/>
              </w:rPr>
              <w:t>A2</w:t>
            </w:r>
          </w:p>
        </w:tc>
        <w:tc>
          <w:tcPr>
            <w:tcW w:w="4553" w:type="dxa"/>
          </w:tcPr>
          <w:p w14:paraId="6A81D8F5" w14:textId="77777777" w:rsidR="00D644E9" w:rsidRPr="00486059" w:rsidRDefault="000600CA">
            <w:pPr>
              <w:spacing w:after="0"/>
              <w:rPr>
                <w:lang w:val="es-ES"/>
              </w:rPr>
            </w:pPr>
            <w:r w:rsidRPr="00486059">
              <w:rPr>
                <w:sz w:val="16"/>
                <w:lang w:val="es-ES"/>
              </w:rPr>
              <w:t>Elegiste el tipo de agente y el protocolo según el cliente y el control que necesitas (prompt agent frente a hosted agent; Responses, Invocations, Activity o A2A) y lo dejaste documentado.</w:t>
            </w:r>
          </w:p>
        </w:tc>
        <w:tc>
          <w:tcPr>
            <w:tcW w:w="3756" w:type="dxa"/>
          </w:tcPr>
          <w:p w14:paraId="126D2E63" w14:textId="77777777" w:rsidR="00D644E9" w:rsidRPr="00486059" w:rsidRDefault="000600CA">
            <w:pPr>
              <w:spacing w:after="0"/>
              <w:rPr>
                <w:lang w:val="es-ES"/>
              </w:rPr>
            </w:pPr>
            <w:r w:rsidRPr="00486059">
              <w:rPr>
                <w:sz w:val="16"/>
                <w:lang w:val="es-ES"/>
              </w:rPr>
              <w:t>El protocolo define quién administra el historial, el streaming y el ciclo de vida de la sesión; cambiarlo tarde obliga a tocar clientes y contratos.</w:t>
            </w:r>
          </w:p>
        </w:tc>
        <w:tc>
          <w:tcPr>
            <w:tcW w:w="2959" w:type="dxa"/>
          </w:tcPr>
          <w:p w14:paraId="0199375A" w14:textId="77777777" w:rsidR="00D644E9" w:rsidRDefault="000600CA">
            <w:pPr>
              <w:spacing w:after="0"/>
            </w:pPr>
            <w:hyperlink r:id="rId7">
              <w:r>
                <w:rPr>
                  <w:color w:val="0563C1"/>
                  <w:sz w:val="16"/>
                  <w:u w:val="single"/>
                </w:rPr>
                <w:t>Hosted agents</w:t>
              </w:r>
            </w:hyperlink>
          </w:p>
          <w:p w14:paraId="6DED31B0" w14:textId="77777777" w:rsidR="00D644E9" w:rsidRDefault="000600CA">
            <w:pPr>
              <w:spacing w:after="0"/>
            </w:pPr>
            <w:hyperlink r:id="rId8">
              <w:r>
                <w:rPr>
                  <w:color w:val="0563C1"/>
                  <w:sz w:val="16"/>
                  <w:u w:val="single"/>
                </w:rPr>
                <w:t>Agent Service: visión general</w:t>
              </w:r>
            </w:hyperlink>
          </w:p>
        </w:tc>
        <w:tc>
          <w:tcPr>
            <w:tcW w:w="2732" w:type="dxa"/>
          </w:tcPr>
          <w:p w14:paraId="3F981D68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foundry\agents\concepts\hosted-agents.md</w:t>
            </w:r>
          </w:p>
          <w:p w14:paraId="49ACF686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foundry\agents\overview.md</w:t>
            </w:r>
          </w:p>
        </w:tc>
      </w:tr>
      <w:tr w:rsidR="00D644E9" w14:paraId="0F40051D" w14:textId="77777777">
        <w:trPr>
          <w:cantSplit/>
          <w:jc w:val="center"/>
        </w:trPr>
        <w:tc>
          <w:tcPr>
            <w:tcW w:w="626" w:type="dxa"/>
          </w:tcPr>
          <w:p w14:paraId="6C1E8FC6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6B7E8907" w14:textId="77777777" w:rsidR="00D644E9" w:rsidRDefault="000600CA">
            <w:pPr>
              <w:spacing w:after="0"/>
            </w:pPr>
            <w:r>
              <w:rPr>
                <w:sz w:val="16"/>
              </w:rPr>
              <w:t>A3</w:t>
            </w:r>
          </w:p>
        </w:tc>
        <w:tc>
          <w:tcPr>
            <w:tcW w:w="4553" w:type="dxa"/>
          </w:tcPr>
          <w:p w14:paraId="705BB32C" w14:textId="77777777" w:rsidR="00D644E9" w:rsidRPr="00486059" w:rsidRDefault="000600CA">
            <w:pPr>
              <w:spacing w:after="0"/>
              <w:rPr>
                <w:lang w:val="es-ES"/>
              </w:rPr>
            </w:pPr>
            <w:r w:rsidRPr="00486059">
              <w:rPr>
                <w:sz w:val="16"/>
                <w:lang w:val="es-ES"/>
              </w:rPr>
              <w:t>Comparaste el pico de usuarios con conversación abierta contra el límite de sesiones concurrentes hosted por suscripción y región (valor predeterminado: 1.000) y decidiste cómo cubrirlo: multiplexar sesiones, ajustar el idle timeout (2–60 min) o solicitar un aumento.</w:t>
            </w:r>
          </w:p>
        </w:tc>
        <w:tc>
          <w:tcPr>
            <w:tcW w:w="3756" w:type="dxa"/>
          </w:tcPr>
          <w:p w14:paraId="08F592E7" w14:textId="77777777" w:rsidR="00D644E9" w:rsidRPr="00486059" w:rsidRDefault="000600CA">
            <w:pPr>
              <w:spacing w:after="0"/>
              <w:rPr>
                <w:lang w:val="es-ES"/>
              </w:rPr>
            </w:pPr>
            <w:r w:rsidRPr="00486059">
              <w:rPr>
                <w:sz w:val="16"/>
                <w:lang w:val="es-ES"/>
              </w:rPr>
              <w:t xml:space="preserve">Al superar el límite el servicio responde 429 </w:t>
            </w:r>
            <w:r w:rsidRPr="00486059">
              <w:rPr>
                <w:rFonts w:ascii="Consolas" w:eastAsia="Consolas" w:hAnsi="Consolas"/>
                <w:sz w:val="16"/>
                <w:lang w:val="es-ES"/>
              </w:rPr>
              <w:t>session_quota_exceeded</w:t>
            </w:r>
            <w:r w:rsidRPr="00486059">
              <w:rPr>
                <w:sz w:val="16"/>
                <w:lang w:val="es-ES"/>
              </w:rPr>
              <w:t>; una sesión cuenta mientras su cómputo se aprovisiona o está en ejecución, aunque el usuario esté en silencio.</w:t>
            </w:r>
          </w:p>
        </w:tc>
        <w:tc>
          <w:tcPr>
            <w:tcW w:w="2959" w:type="dxa"/>
          </w:tcPr>
          <w:p w14:paraId="50115B65" w14:textId="77777777" w:rsidR="00D644E9" w:rsidRPr="00486059" w:rsidRDefault="000600CA">
            <w:pPr>
              <w:spacing w:after="0"/>
              <w:rPr>
                <w:lang w:val="es-ES"/>
              </w:rPr>
            </w:pPr>
            <w:hyperlink r:id="rId9">
              <w:r w:rsidRPr="00486059">
                <w:rPr>
                  <w:color w:val="0563C1"/>
                  <w:sz w:val="16"/>
                  <w:u w:val="single"/>
                  <w:lang w:val="es-ES"/>
                </w:rPr>
                <w:t>Límites, cuotas y regiones</w:t>
              </w:r>
            </w:hyperlink>
          </w:p>
          <w:p w14:paraId="44EC035D" w14:textId="77777777" w:rsidR="00D644E9" w:rsidRPr="00486059" w:rsidRDefault="000600CA">
            <w:pPr>
              <w:spacing w:after="0"/>
              <w:rPr>
                <w:lang w:val="es-ES"/>
              </w:rPr>
            </w:pPr>
            <w:hyperlink r:id="rId10">
              <w:r w:rsidRPr="00486059">
                <w:rPr>
                  <w:color w:val="0563C1"/>
                  <w:sz w:val="16"/>
                  <w:u w:val="single"/>
                  <w:lang w:val="es-ES"/>
                </w:rPr>
                <w:t>Multiplexar usuarios en una sesión</w:t>
              </w:r>
            </w:hyperlink>
          </w:p>
          <w:p w14:paraId="2D49E02D" w14:textId="77777777" w:rsidR="00D644E9" w:rsidRDefault="000600CA">
            <w:pPr>
              <w:spacing w:after="0"/>
            </w:pPr>
            <w:hyperlink r:id="rId11">
              <w:r>
                <w:rPr>
                  <w:color w:val="0563C1"/>
                  <w:sz w:val="16"/>
                  <w:u w:val="single"/>
                </w:rPr>
                <w:t>Hosted agents</w:t>
              </w:r>
            </w:hyperlink>
          </w:p>
        </w:tc>
        <w:tc>
          <w:tcPr>
            <w:tcW w:w="2732" w:type="dxa"/>
          </w:tcPr>
          <w:p w14:paraId="0629EC94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foundry\agents\concepts\limits-quotas-regions.md</w:t>
            </w:r>
          </w:p>
          <w:p w14:paraId="11658F28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foundry\agents\how-to\multiplex-session-users.md</w:t>
            </w:r>
          </w:p>
          <w:p w14:paraId="0031BD83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foundry\agents\concepts\hosted-agents.md</w:t>
            </w:r>
          </w:p>
        </w:tc>
      </w:tr>
      <w:tr w:rsidR="00D644E9" w14:paraId="4A90C89D" w14:textId="77777777">
        <w:trPr>
          <w:cantSplit/>
          <w:jc w:val="center"/>
        </w:trPr>
        <w:tc>
          <w:tcPr>
            <w:tcW w:w="626" w:type="dxa"/>
          </w:tcPr>
          <w:p w14:paraId="2610D7B2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6F2F854F" w14:textId="77777777" w:rsidR="00D644E9" w:rsidRDefault="000600CA">
            <w:pPr>
              <w:spacing w:after="0"/>
            </w:pPr>
            <w:r>
              <w:rPr>
                <w:sz w:val="16"/>
              </w:rPr>
              <w:t>A4</w:t>
            </w:r>
          </w:p>
        </w:tc>
        <w:tc>
          <w:tcPr>
            <w:tcW w:w="4553" w:type="dxa"/>
          </w:tcPr>
          <w:p w14:paraId="0D1A1C37" w14:textId="77777777" w:rsidR="00D644E9" w:rsidRDefault="000600CA">
            <w:pPr>
              <w:spacing w:after="0"/>
            </w:pPr>
            <w:r>
              <w:rPr>
                <w:sz w:val="16"/>
              </w:rPr>
              <w:t>Definiste la estrategia de resiliencia: definiciones de agentes, activos de conocimiento y conexiones de tools como código, estado persistente en recursos que tú administras y redespliegue automatizado (se prueba, no solo se documenta).</w:t>
            </w:r>
          </w:p>
        </w:tc>
        <w:tc>
          <w:tcPr>
            <w:tcW w:w="3756" w:type="dxa"/>
          </w:tcPr>
          <w:p w14:paraId="3DB92ED7" w14:textId="77777777" w:rsidR="00D644E9" w:rsidRDefault="000600CA">
            <w:pPr>
              <w:spacing w:after="0"/>
            </w:pPr>
            <w:r>
              <w:rPr>
                <w:sz w:val="16"/>
              </w:rPr>
              <w:t>La guía oficial de recuperación se apoya en volver a desplegar desde código; no asumas que el estado de agentes se restaura solo tras un incidente regional.</w:t>
            </w:r>
          </w:p>
        </w:tc>
        <w:tc>
          <w:tcPr>
            <w:tcW w:w="2959" w:type="dxa"/>
          </w:tcPr>
          <w:p w14:paraId="0446C52D" w14:textId="77777777" w:rsidR="00D644E9" w:rsidRDefault="000600CA">
            <w:pPr>
              <w:spacing w:after="0"/>
            </w:pPr>
            <w:hyperlink r:id="rId12">
              <w:r>
                <w:rPr>
                  <w:color w:val="0563C1"/>
                  <w:sz w:val="16"/>
                  <w:u w:val="single"/>
                </w:rPr>
                <w:t>Recuperación ante desastres</w:t>
              </w:r>
            </w:hyperlink>
          </w:p>
          <w:p w14:paraId="2A07055F" w14:textId="77777777" w:rsidR="00D644E9" w:rsidRDefault="000600CA">
            <w:pPr>
              <w:spacing w:after="0"/>
            </w:pPr>
            <w:hyperlink r:id="rId13">
              <w:r>
                <w:rPr>
                  <w:color w:val="0563C1"/>
                  <w:sz w:val="16"/>
                  <w:u w:val="single"/>
                </w:rPr>
                <w:t>Alta disponibilidad y resiliencia</w:t>
              </w:r>
            </w:hyperlink>
          </w:p>
        </w:tc>
        <w:tc>
          <w:tcPr>
            <w:tcW w:w="2732" w:type="dxa"/>
          </w:tcPr>
          <w:p w14:paraId="6A65E5ED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foundry\how-to\agent-service-disaster-recovery.md</w:t>
            </w:r>
          </w:p>
          <w:p w14:paraId="62329BD3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foundry\how-to\high-availability-resiliency.md</w:t>
            </w:r>
          </w:p>
        </w:tc>
      </w:tr>
    </w:tbl>
    <w:p w14:paraId="2F6D1C82" w14:textId="77777777" w:rsidR="00D644E9" w:rsidRDefault="00D644E9">
      <w:pPr>
        <w:spacing w:after="40"/>
      </w:pPr>
    </w:p>
    <w:p w14:paraId="07EB692B" w14:textId="77777777" w:rsidR="00D644E9" w:rsidRDefault="000600CA">
      <w:pPr>
        <w:pStyle w:val="Heading2"/>
      </w:pPr>
      <w:r>
        <w:t>B. Identidad y acceso</w:t>
      </w:r>
    </w:p>
    <w:tbl>
      <w:tblPr>
        <w:tblStyle w:val="TableGrid"/>
        <w:tblW w:w="0" w:type="auto"/>
        <w:jc w:val="center"/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626"/>
        <w:gridCol w:w="512"/>
        <w:gridCol w:w="4553"/>
        <w:gridCol w:w="3756"/>
        <w:gridCol w:w="2959"/>
        <w:gridCol w:w="2732"/>
      </w:tblGrid>
      <w:tr w:rsidR="00D644E9" w14:paraId="734F3711" w14:textId="77777777">
        <w:trPr>
          <w:tblHeader/>
          <w:jc w:val="center"/>
        </w:trPr>
        <w:tc>
          <w:tcPr>
            <w:tcW w:w="626" w:type="dxa"/>
            <w:shd w:val="clear" w:color="auto" w:fill="0078D4"/>
          </w:tcPr>
          <w:p w14:paraId="6D2E441A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Hecho</w:t>
            </w:r>
          </w:p>
        </w:tc>
        <w:tc>
          <w:tcPr>
            <w:tcW w:w="512" w:type="dxa"/>
            <w:shd w:val="clear" w:color="auto" w:fill="0078D4"/>
          </w:tcPr>
          <w:p w14:paraId="22F77D1A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4553" w:type="dxa"/>
            <w:shd w:val="clear" w:color="auto" w:fill="0078D4"/>
          </w:tcPr>
          <w:p w14:paraId="0B871867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Ítem a verificar</w:t>
            </w:r>
          </w:p>
        </w:tc>
        <w:tc>
          <w:tcPr>
            <w:tcW w:w="3756" w:type="dxa"/>
            <w:shd w:val="clear" w:color="auto" w:fill="0078D4"/>
          </w:tcPr>
          <w:p w14:paraId="58BFE59B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Por qué importa</w:t>
            </w:r>
          </w:p>
        </w:tc>
        <w:tc>
          <w:tcPr>
            <w:tcW w:w="2959" w:type="dxa"/>
            <w:shd w:val="clear" w:color="auto" w:fill="0078D4"/>
          </w:tcPr>
          <w:p w14:paraId="54D8625E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Referencia oficial (Learn)</w:t>
            </w:r>
          </w:p>
        </w:tc>
        <w:tc>
          <w:tcPr>
            <w:tcW w:w="2732" w:type="dxa"/>
            <w:shd w:val="clear" w:color="auto" w:fill="0078D4"/>
          </w:tcPr>
          <w:p w14:paraId="0C42A20B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Ruta offline (`docs-oficiales\`)</w:t>
            </w:r>
          </w:p>
        </w:tc>
      </w:tr>
      <w:tr w:rsidR="00D644E9" w14:paraId="4AA4533B" w14:textId="77777777">
        <w:trPr>
          <w:cantSplit/>
          <w:jc w:val="center"/>
        </w:trPr>
        <w:tc>
          <w:tcPr>
            <w:tcW w:w="626" w:type="dxa"/>
          </w:tcPr>
          <w:p w14:paraId="4100746C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497F26C7" w14:textId="77777777" w:rsidR="00D644E9" w:rsidRDefault="000600CA">
            <w:pPr>
              <w:spacing w:after="0"/>
            </w:pPr>
            <w:r>
              <w:rPr>
                <w:sz w:val="16"/>
              </w:rPr>
              <w:t>B1</w:t>
            </w:r>
          </w:p>
        </w:tc>
        <w:tc>
          <w:tcPr>
            <w:tcW w:w="4553" w:type="dxa"/>
          </w:tcPr>
          <w:p w14:paraId="2DFF8E70" w14:textId="77777777" w:rsidR="00D644E9" w:rsidRDefault="000600CA">
            <w:pPr>
              <w:spacing w:after="0"/>
            </w:pPr>
            <w:r>
              <w:rPr>
                <w:sz w:val="16"/>
              </w:rPr>
              <w:t>Cada agente tiene identidad Entra propia (los hosted agents reciben una dedicada al desplegarse) con roles de mínimo privilegio; las identidades que solo invocan agentes usan el rol Foundry Agent Consumer, no el de desarrollo.</w:t>
            </w:r>
          </w:p>
        </w:tc>
        <w:tc>
          <w:tcPr>
            <w:tcW w:w="3756" w:type="dxa"/>
          </w:tcPr>
          <w:p w14:paraId="400838FA" w14:textId="77777777" w:rsidR="00D644E9" w:rsidRDefault="000600CA">
            <w:pPr>
              <w:spacing w:after="0"/>
            </w:pPr>
            <w:r>
              <w:rPr>
                <w:sz w:val="16"/>
              </w:rPr>
              <w:t>Una identidad compartida o un rol excesivo amplía el radio de impacto de cualquier abuso del agente o de sus tools y vuelve inútil la auditoría.</w:t>
            </w:r>
          </w:p>
        </w:tc>
        <w:tc>
          <w:tcPr>
            <w:tcW w:w="2959" w:type="dxa"/>
          </w:tcPr>
          <w:p w14:paraId="167EA3F1" w14:textId="77777777" w:rsidR="00D644E9" w:rsidRDefault="000600CA">
            <w:pPr>
              <w:spacing w:after="0"/>
            </w:pPr>
            <w:hyperlink r:id="rId14">
              <w:r>
                <w:rPr>
                  <w:color w:val="0563C1"/>
                  <w:sz w:val="16"/>
                  <w:u w:val="single"/>
                </w:rPr>
                <w:t>Identidad de agente</w:t>
              </w:r>
            </w:hyperlink>
          </w:p>
          <w:p w14:paraId="13641538" w14:textId="77777777" w:rsidR="00D644E9" w:rsidRDefault="000600CA">
            <w:pPr>
              <w:spacing w:after="0"/>
            </w:pPr>
            <w:hyperlink r:id="rId15">
              <w:r>
                <w:rPr>
                  <w:color w:val="0563C1"/>
                  <w:sz w:val="16"/>
                  <w:u w:val="single"/>
                </w:rPr>
                <w:t>RBAC en Foundry</w:t>
              </w:r>
            </w:hyperlink>
          </w:p>
          <w:p w14:paraId="018EAF75" w14:textId="77777777" w:rsidR="00D644E9" w:rsidRDefault="000600CA">
            <w:pPr>
              <w:spacing w:after="0"/>
            </w:pPr>
            <w:hyperlink r:id="rId16">
              <w:r>
                <w:rPr>
                  <w:color w:val="0563C1"/>
                  <w:sz w:val="16"/>
                  <w:u w:val="single"/>
                </w:rPr>
                <w:t>Permisos de hosted agents</w:t>
              </w:r>
            </w:hyperlink>
          </w:p>
        </w:tc>
        <w:tc>
          <w:tcPr>
            <w:tcW w:w="2732" w:type="dxa"/>
          </w:tcPr>
          <w:p w14:paraId="59EDD220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foundry\agents\concepts\agent-identity.md</w:t>
            </w:r>
          </w:p>
          <w:p w14:paraId="13A2FF6E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foundry\concepts\rbac-foundry.md</w:t>
            </w:r>
          </w:p>
          <w:p w14:paraId="6F2DC9D1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foundry\agents\concepts\hosted-agent-permissions.md</w:t>
            </w:r>
          </w:p>
        </w:tc>
      </w:tr>
      <w:tr w:rsidR="00D644E9" w14:paraId="73FAD4DD" w14:textId="77777777">
        <w:trPr>
          <w:cantSplit/>
          <w:jc w:val="center"/>
        </w:trPr>
        <w:tc>
          <w:tcPr>
            <w:tcW w:w="626" w:type="dxa"/>
          </w:tcPr>
          <w:p w14:paraId="1D19E576" w14:textId="77777777" w:rsidR="00D644E9" w:rsidRDefault="000600CA">
            <w:pPr>
              <w:spacing w:after="0"/>
            </w:pPr>
            <w:r>
              <w:rPr>
                <w:sz w:val="16"/>
              </w:rPr>
              <w:lastRenderedPageBreak/>
              <w:t>☐</w:t>
            </w:r>
          </w:p>
        </w:tc>
        <w:tc>
          <w:tcPr>
            <w:tcW w:w="512" w:type="dxa"/>
          </w:tcPr>
          <w:p w14:paraId="0584B058" w14:textId="77777777" w:rsidR="00D644E9" w:rsidRDefault="000600CA">
            <w:pPr>
              <w:spacing w:after="0"/>
            </w:pPr>
            <w:r>
              <w:rPr>
                <w:sz w:val="16"/>
              </w:rPr>
              <w:t>B2</w:t>
            </w:r>
          </w:p>
        </w:tc>
        <w:tc>
          <w:tcPr>
            <w:tcW w:w="4553" w:type="dxa"/>
          </w:tcPr>
          <w:p w14:paraId="4E6DD697" w14:textId="77777777" w:rsidR="00D644E9" w:rsidRDefault="000600CA">
            <w:pPr>
              <w:spacing w:after="0"/>
            </w:pPr>
            <w:r>
              <w:rPr>
                <w:sz w:val="16"/>
              </w:rPr>
              <w:t>Decidiste, por tipo de dato, entre actuar con la identidad del agente o delegar con On-Behalf-Of (OBO), y asumes que el OBO lo implementa tu aplicación, no la plataforma.</w:t>
            </w:r>
          </w:p>
        </w:tc>
        <w:tc>
          <w:tcPr>
            <w:tcW w:w="3756" w:type="dxa"/>
          </w:tcPr>
          <w:p w14:paraId="66CE48A7" w14:textId="77777777" w:rsidR="00D644E9" w:rsidRDefault="000600CA">
            <w:pPr>
              <w:spacing w:after="0"/>
            </w:pPr>
            <w:r>
              <w:rPr>
                <w:sz w:val="16"/>
              </w:rPr>
              <w:t>Si la tool debe respetar los permisos del usuario final y solo usas la identidad del agente, cualquiera que llegue al agente hereda sus permisos.</w:t>
            </w:r>
          </w:p>
        </w:tc>
        <w:tc>
          <w:tcPr>
            <w:tcW w:w="2959" w:type="dxa"/>
          </w:tcPr>
          <w:p w14:paraId="12C61ACB" w14:textId="77777777" w:rsidR="00D644E9" w:rsidRDefault="000600CA">
            <w:pPr>
              <w:spacing w:after="0"/>
            </w:pPr>
            <w:hyperlink r:id="rId17">
              <w:r>
                <w:rPr>
                  <w:color w:val="0563C1"/>
                  <w:sz w:val="16"/>
                  <w:u w:val="single"/>
                </w:rPr>
                <w:t>Flujo On-Behalf-Of</w:t>
              </w:r>
            </w:hyperlink>
          </w:p>
          <w:p w14:paraId="54FE9558" w14:textId="77777777" w:rsidR="00D644E9" w:rsidRDefault="000600CA">
            <w:pPr>
              <w:spacing w:after="0"/>
            </w:pPr>
            <w:hyperlink r:id="rId18">
              <w:r>
                <w:rPr>
                  <w:color w:val="0563C1"/>
                  <w:sz w:val="16"/>
                  <w:u w:val="single"/>
                </w:rPr>
                <w:t>Identidad de agente</w:t>
              </w:r>
            </w:hyperlink>
          </w:p>
        </w:tc>
        <w:tc>
          <w:tcPr>
            <w:tcW w:w="2732" w:type="dxa"/>
          </w:tcPr>
          <w:p w14:paraId="45B42244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foundry\agents\how-to\use-on-behalf-of-flow.md</w:t>
            </w:r>
          </w:p>
          <w:p w14:paraId="2A93679E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foundry\agents\concepts\agent-identity.md</w:t>
            </w:r>
          </w:p>
        </w:tc>
      </w:tr>
      <w:tr w:rsidR="00D644E9" w14:paraId="237FB3F9" w14:textId="77777777">
        <w:trPr>
          <w:cantSplit/>
          <w:jc w:val="center"/>
        </w:trPr>
        <w:tc>
          <w:tcPr>
            <w:tcW w:w="626" w:type="dxa"/>
          </w:tcPr>
          <w:p w14:paraId="78C51286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3B64A2C7" w14:textId="77777777" w:rsidR="00D644E9" w:rsidRDefault="000600CA">
            <w:pPr>
              <w:spacing w:after="0"/>
            </w:pPr>
            <w:r>
              <w:rPr>
                <w:sz w:val="16"/>
              </w:rPr>
              <w:t>B3</w:t>
            </w:r>
          </w:p>
        </w:tc>
        <w:tc>
          <w:tcPr>
            <w:tcW w:w="4553" w:type="dxa"/>
          </w:tcPr>
          <w:p w14:paraId="1EC58F20" w14:textId="77777777" w:rsidR="00D644E9" w:rsidRDefault="000600CA">
            <w:pPr>
              <w:spacing w:after="0"/>
            </w:pPr>
            <w:r>
              <w:rPr>
                <w:sz w:val="16"/>
              </w:rPr>
              <w:t>La identidad del usuario final (</w:t>
            </w:r>
            <w:r>
              <w:rPr>
                <w:rFonts w:ascii="Consolas" w:eastAsia="Consolas" w:hAnsi="Consolas"/>
                <w:sz w:val="16"/>
              </w:rPr>
              <w:t>x-ms-user-identity</w:t>
            </w:r>
            <w:r>
              <w:rPr>
                <w:sz w:val="16"/>
              </w:rPr>
              <w:t>) la fija tu capa intermedia a partir de un contexto ya validado (token verificado, sesión del portal), nunca desde encabezados o parámetros que envíe el cliente.</w:t>
            </w:r>
          </w:p>
        </w:tc>
        <w:tc>
          <w:tcPr>
            <w:tcW w:w="3756" w:type="dxa"/>
          </w:tcPr>
          <w:p w14:paraId="1C108882" w14:textId="77777777" w:rsidR="00D644E9" w:rsidRDefault="000600CA">
            <w:pPr>
              <w:spacing w:after="0"/>
            </w:pPr>
            <w:r>
              <w:rPr>
                <w:sz w:val="16"/>
              </w:rPr>
              <w:t>Es el punto donde se decide a nombre de quién actúa el agente; si el cliente puede elegirlo, cualquier usuario puede suplantar a otro.</w:t>
            </w:r>
          </w:p>
        </w:tc>
        <w:tc>
          <w:tcPr>
            <w:tcW w:w="2959" w:type="dxa"/>
          </w:tcPr>
          <w:p w14:paraId="41519A73" w14:textId="77777777" w:rsidR="00D644E9" w:rsidRDefault="000600CA">
            <w:pPr>
              <w:spacing w:after="0"/>
            </w:pPr>
            <w:hyperlink r:id="rId19">
              <w:r>
                <w:rPr>
                  <w:color w:val="0563C1"/>
                  <w:sz w:val="16"/>
                  <w:u w:val="single"/>
                </w:rPr>
                <w:t>Multiplexar usuarios en una sesión</w:t>
              </w:r>
            </w:hyperlink>
          </w:p>
          <w:p w14:paraId="729F0298" w14:textId="77777777" w:rsidR="00D644E9" w:rsidRDefault="000600CA">
            <w:pPr>
              <w:spacing w:after="0"/>
            </w:pPr>
            <w:hyperlink r:id="rId20">
              <w:r>
                <w:rPr>
                  <w:color w:val="0563C1"/>
                  <w:sz w:val="16"/>
                  <w:u w:val="single"/>
                </w:rPr>
                <w:t>Aislar sesiones por usuario</w:t>
              </w:r>
            </w:hyperlink>
          </w:p>
        </w:tc>
        <w:tc>
          <w:tcPr>
            <w:tcW w:w="2732" w:type="dxa"/>
          </w:tcPr>
          <w:p w14:paraId="593372BC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foundry\agents\how-to\multiplex-session-users.md</w:t>
            </w:r>
          </w:p>
          <w:p w14:paraId="25C57755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foundry\agents\how-to\isolate-sessions-per-user.md</w:t>
            </w:r>
          </w:p>
        </w:tc>
      </w:tr>
      <w:tr w:rsidR="00D644E9" w14:paraId="1118E2C9" w14:textId="77777777">
        <w:trPr>
          <w:cantSplit/>
          <w:jc w:val="center"/>
        </w:trPr>
        <w:tc>
          <w:tcPr>
            <w:tcW w:w="626" w:type="dxa"/>
          </w:tcPr>
          <w:p w14:paraId="752824DB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201AD7C0" w14:textId="77777777" w:rsidR="00D644E9" w:rsidRDefault="000600CA">
            <w:pPr>
              <w:spacing w:after="0"/>
            </w:pPr>
            <w:r>
              <w:rPr>
                <w:sz w:val="16"/>
              </w:rPr>
              <w:t>B4</w:t>
            </w:r>
          </w:p>
        </w:tc>
        <w:tc>
          <w:tcPr>
            <w:tcW w:w="4553" w:type="dxa"/>
          </w:tcPr>
          <w:p w14:paraId="40D3B3B2" w14:textId="77777777" w:rsidR="00D644E9" w:rsidRDefault="000600CA">
            <w:pPr>
              <w:spacing w:after="0"/>
            </w:pPr>
            <w:r>
              <w:rPr>
                <w:sz w:val="16"/>
              </w:rPr>
              <w:t>El permiso de suplantación (</w:t>
            </w:r>
            <w:r>
              <w:rPr>
                <w:rFonts w:ascii="Consolas" w:eastAsia="Consolas" w:hAnsi="Consolas"/>
                <w:sz w:val="16"/>
              </w:rPr>
              <w:t>UserIdentityImpersonation</w:t>
            </w:r>
            <w:r>
              <w:rPr>
                <w:sz w:val="16"/>
              </w:rPr>
              <w:t>) está asignado solo a la identidad de la capa intermedia mediante un rol personalizado y revisado periódicamente.</w:t>
            </w:r>
          </w:p>
        </w:tc>
        <w:tc>
          <w:tcPr>
            <w:tcW w:w="3756" w:type="dxa"/>
          </w:tcPr>
          <w:p w14:paraId="14A1906E" w14:textId="77777777" w:rsidR="00D644E9" w:rsidRDefault="000600CA">
            <w:pPr>
              <w:spacing w:after="0"/>
            </w:pPr>
            <w:r>
              <w:rPr>
                <w:sz w:val="16"/>
              </w:rPr>
              <w:t>No viene en los roles integrados; concederlo de forma amplia permitiría a otras identidades actuar a nombre de usuarios finales.</w:t>
            </w:r>
          </w:p>
        </w:tc>
        <w:tc>
          <w:tcPr>
            <w:tcW w:w="2959" w:type="dxa"/>
          </w:tcPr>
          <w:p w14:paraId="152E7A7F" w14:textId="77777777" w:rsidR="00D644E9" w:rsidRDefault="000600CA">
            <w:pPr>
              <w:spacing w:after="0"/>
            </w:pPr>
            <w:hyperlink r:id="rId21">
              <w:r>
                <w:rPr>
                  <w:color w:val="0563C1"/>
                  <w:sz w:val="16"/>
                  <w:u w:val="single"/>
                </w:rPr>
                <w:t>Permisos de hosted agents</w:t>
              </w:r>
            </w:hyperlink>
          </w:p>
          <w:p w14:paraId="331E05E5" w14:textId="77777777" w:rsidR="00D644E9" w:rsidRDefault="000600CA">
            <w:pPr>
              <w:spacing w:after="0"/>
            </w:pPr>
            <w:hyperlink r:id="rId22">
              <w:r>
                <w:rPr>
                  <w:color w:val="0563C1"/>
                  <w:sz w:val="16"/>
                  <w:u w:val="single"/>
                </w:rPr>
                <w:t>Multiplexar usuarios en una sesión</w:t>
              </w:r>
            </w:hyperlink>
          </w:p>
        </w:tc>
        <w:tc>
          <w:tcPr>
            <w:tcW w:w="2732" w:type="dxa"/>
          </w:tcPr>
          <w:p w14:paraId="21D4FF08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foundry\agents\concepts\hosted-agent-permissions.md</w:t>
            </w:r>
          </w:p>
          <w:p w14:paraId="03488B69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foundry\agents\how-to\multiplex-session-users.md</w:t>
            </w:r>
          </w:p>
        </w:tc>
      </w:tr>
      <w:tr w:rsidR="00D644E9" w14:paraId="28D4B741" w14:textId="77777777">
        <w:trPr>
          <w:cantSplit/>
          <w:jc w:val="center"/>
        </w:trPr>
        <w:tc>
          <w:tcPr>
            <w:tcW w:w="626" w:type="dxa"/>
          </w:tcPr>
          <w:p w14:paraId="02C0EFE0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3EBF06FE" w14:textId="77777777" w:rsidR="00D644E9" w:rsidRDefault="000600CA">
            <w:pPr>
              <w:spacing w:after="0"/>
            </w:pPr>
            <w:r>
              <w:rPr>
                <w:sz w:val="16"/>
              </w:rPr>
              <w:t>B5</w:t>
            </w:r>
          </w:p>
        </w:tc>
        <w:tc>
          <w:tcPr>
            <w:tcW w:w="4553" w:type="dxa"/>
          </w:tcPr>
          <w:p w14:paraId="417C14F8" w14:textId="77777777" w:rsidR="00D644E9" w:rsidRDefault="000600CA">
            <w:pPr>
              <w:spacing w:after="0"/>
            </w:pPr>
            <w:r>
              <w:rPr>
                <w:sz w:val="16"/>
              </w:rPr>
              <w:t>No hay API keys ni secretos en código, imágenes ni variables de entorno: usas Entra/identidad administrada; si una conexión exige clave, asumes que quien tiene acceso al proyecto puede usarla y la rotas.</w:t>
            </w:r>
          </w:p>
        </w:tc>
        <w:tc>
          <w:tcPr>
            <w:tcW w:w="3756" w:type="dxa"/>
          </w:tcPr>
          <w:p w14:paraId="503D3EA4" w14:textId="77777777" w:rsidR="00D644E9" w:rsidRDefault="000600CA">
            <w:pPr>
              <w:spacing w:after="0"/>
            </w:pPr>
            <w:r>
              <w:rPr>
                <w:sz w:val="16"/>
              </w:rPr>
              <w:t>Los secretos filtrados no caducan solos y las conexiones con clave rompen la trazabilidad por usuario.</w:t>
            </w:r>
          </w:p>
        </w:tc>
        <w:tc>
          <w:tcPr>
            <w:tcW w:w="2959" w:type="dxa"/>
          </w:tcPr>
          <w:p w14:paraId="5898FD88" w14:textId="77777777" w:rsidR="00D644E9" w:rsidRDefault="000600CA">
            <w:pPr>
              <w:spacing w:after="0"/>
            </w:pPr>
            <w:hyperlink r:id="rId23">
              <w:r>
                <w:rPr>
                  <w:color w:val="0563C1"/>
                  <w:sz w:val="16"/>
                  <w:u w:val="single"/>
                </w:rPr>
                <w:t>Autenticación de MCP</w:t>
              </w:r>
            </w:hyperlink>
          </w:p>
          <w:p w14:paraId="00433017" w14:textId="77777777" w:rsidR="00D644E9" w:rsidRDefault="000600CA">
            <w:pPr>
              <w:spacing w:after="0"/>
            </w:pPr>
            <w:hyperlink r:id="rId24">
              <w:r>
                <w:rPr>
                  <w:color w:val="0563C1"/>
                  <w:sz w:val="16"/>
                  <w:u w:val="single"/>
                </w:rPr>
                <w:t>Autenticación A2A</w:t>
              </w:r>
            </w:hyperlink>
          </w:p>
        </w:tc>
        <w:tc>
          <w:tcPr>
            <w:tcW w:w="2732" w:type="dxa"/>
          </w:tcPr>
          <w:p w14:paraId="2C988220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foundry\agents\how-to\mcp-authentication.md</w:t>
            </w:r>
          </w:p>
          <w:p w14:paraId="71C4E010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foundry\agents\concepts\agent-to-agent-authentication.md</w:t>
            </w:r>
          </w:p>
        </w:tc>
      </w:tr>
    </w:tbl>
    <w:p w14:paraId="038712C2" w14:textId="77777777" w:rsidR="00D644E9" w:rsidRDefault="00D644E9">
      <w:pPr>
        <w:spacing w:after="40"/>
      </w:pPr>
    </w:p>
    <w:p w14:paraId="6FE73D4B" w14:textId="77777777" w:rsidR="00D644E9" w:rsidRDefault="000600CA">
      <w:pPr>
        <w:pStyle w:val="Heading2"/>
      </w:pPr>
      <w:r>
        <w:t>C. Datos y retrieval</w:t>
      </w:r>
    </w:p>
    <w:tbl>
      <w:tblPr>
        <w:tblStyle w:val="TableGrid"/>
        <w:tblW w:w="0" w:type="auto"/>
        <w:jc w:val="center"/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626"/>
        <w:gridCol w:w="512"/>
        <w:gridCol w:w="4553"/>
        <w:gridCol w:w="3756"/>
        <w:gridCol w:w="2959"/>
        <w:gridCol w:w="2732"/>
      </w:tblGrid>
      <w:tr w:rsidR="00D644E9" w14:paraId="3DBD197A" w14:textId="77777777">
        <w:trPr>
          <w:tblHeader/>
          <w:jc w:val="center"/>
        </w:trPr>
        <w:tc>
          <w:tcPr>
            <w:tcW w:w="626" w:type="dxa"/>
            <w:shd w:val="clear" w:color="auto" w:fill="0078D4"/>
          </w:tcPr>
          <w:p w14:paraId="15275584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Hecho</w:t>
            </w:r>
          </w:p>
        </w:tc>
        <w:tc>
          <w:tcPr>
            <w:tcW w:w="512" w:type="dxa"/>
            <w:shd w:val="clear" w:color="auto" w:fill="0078D4"/>
          </w:tcPr>
          <w:p w14:paraId="210878C1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4553" w:type="dxa"/>
            <w:shd w:val="clear" w:color="auto" w:fill="0078D4"/>
          </w:tcPr>
          <w:p w14:paraId="5D0D48BF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Ítem a verificar</w:t>
            </w:r>
          </w:p>
        </w:tc>
        <w:tc>
          <w:tcPr>
            <w:tcW w:w="3756" w:type="dxa"/>
            <w:shd w:val="clear" w:color="auto" w:fill="0078D4"/>
          </w:tcPr>
          <w:p w14:paraId="61ACAFE9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Por qué importa</w:t>
            </w:r>
          </w:p>
        </w:tc>
        <w:tc>
          <w:tcPr>
            <w:tcW w:w="2959" w:type="dxa"/>
            <w:shd w:val="clear" w:color="auto" w:fill="0078D4"/>
          </w:tcPr>
          <w:p w14:paraId="38E56665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Referencia oficial (Learn)</w:t>
            </w:r>
          </w:p>
        </w:tc>
        <w:tc>
          <w:tcPr>
            <w:tcW w:w="2732" w:type="dxa"/>
            <w:shd w:val="clear" w:color="auto" w:fill="0078D4"/>
          </w:tcPr>
          <w:p w14:paraId="539607FB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Ruta offline (`docs-oficiales\`)</w:t>
            </w:r>
          </w:p>
        </w:tc>
      </w:tr>
      <w:tr w:rsidR="00D644E9" w14:paraId="5B106C91" w14:textId="77777777">
        <w:trPr>
          <w:cantSplit/>
          <w:jc w:val="center"/>
        </w:trPr>
        <w:tc>
          <w:tcPr>
            <w:tcW w:w="626" w:type="dxa"/>
          </w:tcPr>
          <w:p w14:paraId="1A872960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4E4B095D" w14:textId="77777777" w:rsidR="00D644E9" w:rsidRDefault="000600CA">
            <w:pPr>
              <w:spacing w:after="0"/>
            </w:pPr>
            <w:r>
              <w:rPr>
                <w:sz w:val="16"/>
              </w:rPr>
              <w:t>C1</w:t>
            </w:r>
          </w:p>
        </w:tc>
        <w:tc>
          <w:tcPr>
            <w:tcW w:w="4553" w:type="dxa"/>
          </w:tcPr>
          <w:p w14:paraId="2FB3052F" w14:textId="77777777" w:rsidR="00D644E9" w:rsidRDefault="000600CA">
            <w:pPr>
              <w:spacing w:after="0"/>
            </w:pPr>
            <w:r>
              <w:rPr>
                <w:sz w:val="16"/>
              </w:rPr>
              <w:t>El recorte de seguridad (security trimming) en AI Search se aplica con la identidad o los grupos del usuario y está probado con usuarios que no deben ver ciertos documentos (resultado negativo esperado).</w:t>
            </w:r>
          </w:p>
        </w:tc>
        <w:tc>
          <w:tcPr>
            <w:tcW w:w="3756" w:type="dxa"/>
          </w:tcPr>
          <w:p w14:paraId="01DAB219" w14:textId="77777777" w:rsidR="00D644E9" w:rsidRDefault="000600CA">
            <w:pPr>
              <w:spacing w:after="0"/>
            </w:pPr>
            <w:r>
              <w:rPr>
                <w:sz w:val="16"/>
              </w:rPr>
              <w:t>Sin filtrado por permisos, el RAG puede citar al agente un documento que el usuario no puede abrir; es el vector de fuga más silencioso.</w:t>
            </w:r>
          </w:p>
        </w:tc>
        <w:tc>
          <w:tcPr>
            <w:tcW w:w="2959" w:type="dxa"/>
          </w:tcPr>
          <w:p w14:paraId="3DEF0A47" w14:textId="77777777" w:rsidR="00D644E9" w:rsidRDefault="000600CA">
            <w:pPr>
              <w:spacing w:after="0"/>
            </w:pPr>
            <w:hyperlink r:id="rId25">
              <w:r>
                <w:rPr>
                  <w:color w:val="0563C1"/>
                  <w:sz w:val="16"/>
                  <w:u w:val="single"/>
                </w:rPr>
                <w:t>Security trimming en AI Search</w:t>
              </w:r>
            </w:hyperlink>
          </w:p>
          <w:p w14:paraId="166A0B2F" w14:textId="77777777" w:rsidR="00D644E9" w:rsidRDefault="000600CA">
            <w:pPr>
              <w:spacing w:after="0"/>
            </w:pPr>
            <w:hyperlink r:id="rId26">
              <w:r>
                <w:rPr>
                  <w:color w:val="0563C1"/>
                  <w:sz w:val="16"/>
                  <w:u w:val="single"/>
                </w:rPr>
                <w:t>AI Search con RBAC</w:t>
              </w:r>
            </w:hyperlink>
          </w:p>
          <w:p w14:paraId="7D3BB5D4" w14:textId="77777777" w:rsidR="00D644E9" w:rsidRDefault="000600CA">
            <w:pPr>
              <w:spacing w:after="0"/>
            </w:pPr>
            <w:hyperlink r:id="rId27">
              <w:r>
                <w:rPr>
                  <w:color w:val="0563C1"/>
                  <w:sz w:val="16"/>
                  <w:u w:val="single"/>
                </w:rPr>
                <w:t>RAG multitenant seguro</w:t>
              </w:r>
            </w:hyperlink>
          </w:p>
        </w:tc>
        <w:tc>
          <w:tcPr>
            <w:tcW w:w="2732" w:type="dxa"/>
          </w:tcPr>
          <w:p w14:paraId="76BB8936" w14:textId="77777777" w:rsidR="00D644E9" w:rsidRDefault="000600CA">
            <w:pPr>
              <w:spacing w:after="0"/>
            </w:pPr>
            <w:r>
              <w:rPr>
                <w:sz w:val="16"/>
              </w:rPr>
              <w:t>(sin copia local)</w:t>
            </w:r>
          </w:p>
          <w:p w14:paraId="138BDEEC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azure-ai-search\search-get-started-rbac.md</w:t>
            </w:r>
          </w:p>
          <w:p w14:paraId="77F3B269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architecture-center-ai\ai-ml\guide\secure-multitenant-rag.md</w:t>
            </w:r>
          </w:p>
        </w:tc>
      </w:tr>
      <w:tr w:rsidR="00D644E9" w14:paraId="2C781D0F" w14:textId="77777777">
        <w:trPr>
          <w:cantSplit/>
          <w:jc w:val="center"/>
        </w:trPr>
        <w:tc>
          <w:tcPr>
            <w:tcW w:w="626" w:type="dxa"/>
          </w:tcPr>
          <w:p w14:paraId="2021CB6C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4B85B26B" w14:textId="77777777" w:rsidR="00D644E9" w:rsidRDefault="000600CA">
            <w:pPr>
              <w:spacing w:after="0"/>
            </w:pPr>
            <w:r>
              <w:rPr>
                <w:sz w:val="16"/>
              </w:rPr>
              <w:t>C2</w:t>
            </w:r>
          </w:p>
        </w:tc>
        <w:tc>
          <w:tcPr>
            <w:tcW w:w="4553" w:type="dxa"/>
          </w:tcPr>
          <w:p w14:paraId="631A97F3" w14:textId="77777777" w:rsidR="00D644E9" w:rsidRDefault="000600CA">
            <w:pPr>
              <w:spacing w:after="0"/>
            </w:pPr>
            <w:r>
              <w:rPr>
                <w:sz w:val="16"/>
              </w:rPr>
              <w:t>Si multiplexas sesiones, los datos propios del contenedor (archivos, caché, estado) se particionan por (session_id, user_id) y lo verificas con una prueba A-A-B entre usuarios.</w:t>
            </w:r>
          </w:p>
        </w:tc>
        <w:tc>
          <w:tcPr>
            <w:tcW w:w="3756" w:type="dxa"/>
          </w:tcPr>
          <w:p w14:paraId="0E442065" w14:textId="77777777" w:rsidR="00D644E9" w:rsidRDefault="000600CA">
            <w:pPr>
              <w:spacing w:after="0"/>
            </w:pPr>
            <w:r>
              <w:rPr>
                <w:sz w:val="16"/>
              </w:rPr>
              <w:t>La plataforma aísla el historial de conversación por usuario, pero no los datos que tu código guarda en el sandbox compartido.</w:t>
            </w:r>
          </w:p>
        </w:tc>
        <w:tc>
          <w:tcPr>
            <w:tcW w:w="2959" w:type="dxa"/>
          </w:tcPr>
          <w:p w14:paraId="669B715F" w14:textId="77777777" w:rsidR="00D644E9" w:rsidRDefault="000600CA">
            <w:pPr>
              <w:spacing w:after="0"/>
            </w:pPr>
            <w:hyperlink r:id="rId28">
              <w:r>
                <w:rPr>
                  <w:color w:val="0563C1"/>
                  <w:sz w:val="16"/>
                  <w:u w:val="single"/>
                </w:rPr>
                <w:t>Multiplexar usuarios en una sesión</w:t>
              </w:r>
            </w:hyperlink>
          </w:p>
          <w:p w14:paraId="74592991" w14:textId="77777777" w:rsidR="00D644E9" w:rsidRDefault="000600CA">
            <w:pPr>
              <w:spacing w:after="0"/>
            </w:pPr>
            <w:hyperlink r:id="rId29">
              <w:r>
                <w:rPr>
                  <w:color w:val="0563C1"/>
                  <w:sz w:val="16"/>
                  <w:u w:val="single"/>
                </w:rPr>
                <w:t>Aislar sesiones por usuario</w:t>
              </w:r>
            </w:hyperlink>
          </w:p>
        </w:tc>
        <w:tc>
          <w:tcPr>
            <w:tcW w:w="2732" w:type="dxa"/>
          </w:tcPr>
          <w:p w14:paraId="1B9C9AA3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foundry\agents\how-to\multiplex-session-users.md</w:t>
            </w:r>
          </w:p>
          <w:p w14:paraId="61E51589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foundry\agents\how-to\isolate-sessions-per-user.md</w:t>
            </w:r>
          </w:p>
        </w:tc>
      </w:tr>
      <w:tr w:rsidR="00D644E9" w14:paraId="660D2EAA" w14:textId="77777777">
        <w:trPr>
          <w:cantSplit/>
          <w:jc w:val="center"/>
        </w:trPr>
        <w:tc>
          <w:tcPr>
            <w:tcW w:w="626" w:type="dxa"/>
          </w:tcPr>
          <w:p w14:paraId="16FF9EB2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6777C8C3" w14:textId="77777777" w:rsidR="00D644E9" w:rsidRDefault="000600CA">
            <w:pPr>
              <w:spacing w:after="0"/>
            </w:pPr>
            <w:r>
              <w:rPr>
                <w:sz w:val="16"/>
              </w:rPr>
              <w:t>C3</w:t>
            </w:r>
          </w:p>
        </w:tc>
        <w:tc>
          <w:tcPr>
            <w:tcW w:w="4553" w:type="dxa"/>
          </w:tcPr>
          <w:p w14:paraId="795DC038" w14:textId="77777777" w:rsidR="00D644E9" w:rsidRDefault="000600CA">
            <w:pPr>
              <w:spacing w:after="0"/>
            </w:pPr>
            <w:r>
              <w:rPr>
                <w:sz w:val="16"/>
              </w:rPr>
              <w:t>Mides la calidad del retrieval (relevancia, groundedness) con un conjunto de preguntas representativas y revisas el índice cuando cambian las políticas fuente; el índice no es tu fuente de verdad.</w:t>
            </w:r>
          </w:p>
        </w:tc>
        <w:tc>
          <w:tcPr>
            <w:tcW w:w="3756" w:type="dxa"/>
          </w:tcPr>
          <w:p w14:paraId="1CA42D51" w14:textId="77777777" w:rsidR="00D644E9" w:rsidRDefault="000600CA">
            <w:pPr>
              <w:spacing w:after="0"/>
            </w:pPr>
            <w:r>
              <w:rPr>
                <w:sz w:val="16"/>
              </w:rPr>
              <w:t>Una respuesta bien redactada pero apoyada en un documento obsoleto es un riesgo regulatorio, no solo de calidad.</w:t>
            </w:r>
          </w:p>
        </w:tc>
        <w:tc>
          <w:tcPr>
            <w:tcW w:w="2959" w:type="dxa"/>
          </w:tcPr>
          <w:p w14:paraId="616B3166" w14:textId="77777777" w:rsidR="00D644E9" w:rsidRDefault="000600CA">
            <w:pPr>
              <w:spacing w:after="0"/>
            </w:pPr>
            <w:hyperlink r:id="rId30">
              <w:r>
                <w:rPr>
                  <w:color w:val="0563C1"/>
                  <w:sz w:val="16"/>
                  <w:u w:val="single"/>
                </w:rPr>
                <w:t>RAG: fase de evaluación</w:t>
              </w:r>
            </w:hyperlink>
          </w:p>
          <w:p w14:paraId="68530000" w14:textId="77777777" w:rsidR="00D644E9" w:rsidRDefault="000600CA">
            <w:pPr>
              <w:spacing w:after="0"/>
            </w:pPr>
            <w:hyperlink r:id="rId31">
              <w:r>
                <w:rPr>
                  <w:color w:val="0563C1"/>
                  <w:sz w:val="16"/>
                  <w:u w:val="single"/>
                </w:rPr>
                <w:t>Evaluadores integrados</w:t>
              </w:r>
            </w:hyperlink>
          </w:p>
        </w:tc>
        <w:tc>
          <w:tcPr>
            <w:tcW w:w="2732" w:type="dxa"/>
          </w:tcPr>
          <w:p w14:paraId="5333FA0F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architecture-center-ai\ai-ml\guide\rag\rag-llm-evaluation-phase.md</w:t>
            </w:r>
          </w:p>
          <w:p w14:paraId="0C0CE72C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foundry\concepts\built-in-evaluators.md</w:t>
            </w:r>
          </w:p>
        </w:tc>
      </w:tr>
      <w:tr w:rsidR="00D644E9" w14:paraId="3F2EEAED" w14:textId="77777777">
        <w:trPr>
          <w:cantSplit/>
          <w:jc w:val="center"/>
        </w:trPr>
        <w:tc>
          <w:tcPr>
            <w:tcW w:w="626" w:type="dxa"/>
          </w:tcPr>
          <w:p w14:paraId="22C42BFE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5AD868E4" w14:textId="77777777" w:rsidR="00D644E9" w:rsidRDefault="000600CA">
            <w:pPr>
              <w:spacing w:after="0"/>
            </w:pPr>
            <w:r>
              <w:rPr>
                <w:sz w:val="16"/>
              </w:rPr>
              <w:t>C4</w:t>
            </w:r>
          </w:p>
        </w:tc>
        <w:tc>
          <w:tcPr>
            <w:tcW w:w="4553" w:type="dxa"/>
          </w:tcPr>
          <w:p w14:paraId="3B3CE6D1" w14:textId="77777777" w:rsidR="00D644E9" w:rsidRDefault="000600CA">
            <w:pPr>
              <w:spacing w:after="0"/>
            </w:pPr>
            <w:r>
              <w:rPr>
                <w:sz w:val="16"/>
              </w:rPr>
              <w:t>La memoria de largo plazo (preview) y el durable state store (preview) tienen alcance por usuario, política de retención y borrado definidos antes de habilitarlos; conoces los límites (100 scopes por store, 10.000 memorias por scope).</w:t>
            </w:r>
          </w:p>
        </w:tc>
        <w:tc>
          <w:tcPr>
            <w:tcW w:w="3756" w:type="dxa"/>
          </w:tcPr>
          <w:p w14:paraId="2A6FC0A9" w14:textId="77777777" w:rsidR="00D644E9" w:rsidRDefault="000600CA">
            <w:pPr>
              <w:spacing w:after="0"/>
            </w:pPr>
            <w:r>
              <w:rPr>
                <w:sz w:val="16"/>
              </w:rPr>
              <w:t>Persistir datos de clientes sin alcance ni borrado crea un repositorio no gobernado que entra en el alcance de auditoría y de derechos del titular.</w:t>
            </w:r>
          </w:p>
        </w:tc>
        <w:tc>
          <w:tcPr>
            <w:tcW w:w="2959" w:type="dxa"/>
          </w:tcPr>
          <w:p w14:paraId="1C3ED9FB" w14:textId="77777777" w:rsidR="00D644E9" w:rsidRDefault="000600CA">
            <w:pPr>
              <w:spacing w:after="0"/>
            </w:pPr>
            <w:hyperlink r:id="rId32">
              <w:r>
                <w:rPr>
                  <w:color w:val="0563C1"/>
                  <w:sz w:val="16"/>
                  <w:u w:val="single"/>
                </w:rPr>
                <w:t>Memoria de agentes (preview)</w:t>
              </w:r>
            </w:hyperlink>
          </w:p>
          <w:p w14:paraId="323D29B5" w14:textId="77777777" w:rsidR="00D644E9" w:rsidRDefault="000600CA">
            <w:pPr>
              <w:spacing w:after="0"/>
            </w:pPr>
            <w:hyperlink r:id="rId33">
              <w:r>
                <w:rPr>
                  <w:color w:val="0563C1"/>
                  <w:sz w:val="16"/>
                  <w:u w:val="single"/>
                </w:rPr>
                <w:t>Durable state store (preview)</w:t>
              </w:r>
            </w:hyperlink>
          </w:p>
        </w:tc>
        <w:tc>
          <w:tcPr>
            <w:tcW w:w="2732" w:type="dxa"/>
          </w:tcPr>
          <w:p w14:paraId="6F75CF15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foundry\agents\concepts\what-is-memory.md</w:t>
            </w:r>
          </w:p>
          <w:p w14:paraId="159639AA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foundry\agents\concepts\agent-state-store.md</w:t>
            </w:r>
          </w:p>
        </w:tc>
      </w:tr>
    </w:tbl>
    <w:p w14:paraId="05F75A79" w14:textId="77777777" w:rsidR="00D644E9" w:rsidRDefault="00D644E9">
      <w:pPr>
        <w:spacing w:after="40"/>
      </w:pPr>
    </w:p>
    <w:p w14:paraId="7D56754C" w14:textId="77777777" w:rsidR="00D644E9" w:rsidRDefault="000600CA">
      <w:pPr>
        <w:pStyle w:val="Heading2"/>
      </w:pPr>
      <w:r>
        <w:t>D. Tools, MCP y A2A</w:t>
      </w:r>
    </w:p>
    <w:tbl>
      <w:tblPr>
        <w:tblStyle w:val="TableGrid"/>
        <w:tblW w:w="0" w:type="auto"/>
        <w:jc w:val="center"/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626"/>
        <w:gridCol w:w="512"/>
        <w:gridCol w:w="4553"/>
        <w:gridCol w:w="3756"/>
        <w:gridCol w:w="2959"/>
        <w:gridCol w:w="2732"/>
      </w:tblGrid>
      <w:tr w:rsidR="00D644E9" w14:paraId="6623EA7D" w14:textId="77777777">
        <w:trPr>
          <w:tblHeader/>
          <w:jc w:val="center"/>
        </w:trPr>
        <w:tc>
          <w:tcPr>
            <w:tcW w:w="626" w:type="dxa"/>
            <w:shd w:val="clear" w:color="auto" w:fill="0078D4"/>
          </w:tcPr>
          <w:p w14:paraId="78DEDE4A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Hecho</w:t>
            </w:r>
          </w:p>
        </w:tc>
        <w:tc>
          <w:tcPr>
            <w:tcW w:w="512" w:type="dxa"/>
            <w:shd w:val="clear" w:color="auto" w:fill="0078D4"/>
          </w:tcPr>
          <w:p w14:paraId="1902BC7D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4553" w:type="dxa"/>
            <w:shd w:val="clear" w:color="auto" w:fill="0078D4"/>
          </w:tcPr>
          <w:p w14:paraId="1905C7C7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Ítem a verificar</w:t>
            </w:r>
          </w:p>
        </w:tc>
        <w:tc>
          <w:tcPr>
            <w:tcW w:w="3756" w:type="dxa"/>
            <w:shd w:val="clear" w:color="auto" w:fill="0078D4"/>
          </w:tcPr>
          <w:p w14:paraId="0DCDD1E5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Por qué importa</w:t>
            </w:r>
          </w:p>
        </w:tc>
        <w:tc>
          <w:tcPr>
            <w:tcW w:w="2959" w:type="dxa"/>
            <w:shd w:val="clear" w:color="auto" w:fill="0078D4"/>
          </w:tcPr>
          <w:p w14:paraId="2BFA054D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Referencia oficial (Learn)</w:t>
            </w:r>
          </w:p>
        </w:tc>
        <w:tc>
          <w:tcPr>
            <w:tcW w:w="2732" w:type="dxa"/>
            <w:shd w:val="clear" w:color="auto" w:fill="0078D4"/>
          </w:tcPr>
          <w:p w14:paraId="31AA1CE9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Ruta offline (`docs-oficiales\`)</w:t>
            </w:r>
          </w:p>
        </w:tc>
      </w:tr>
      <w:tr w:rsidR="00D644E9" w14:paraId="35C1E9BA" w14:textId="77777777">
        <w:trPr>
          <w:cantSplit/>
          <w:jc w:val="center"/>
        </w:trPr>
        <w:tc>
          <w:tcPr>
            <w:tcW w:w="626" w:type="dxa"/>
          </w:tcPr>
          <w:p w14:paraId="0AE7A111" w14:textId="77777777" w:rsidR="00D644E9" w:rsidRDefault="000600CA">
            <w:pPr>
              <w:spacing w:after="0"/>
            </w:pPr>
            <w:r>
              <w:rPr>
                <w:sz w:val="16"/>
              </w:rPr>
              <w:lastRenderedPageBreak/>
              <w:t>☐</w:t>
            </w:r>
          </w:p>
        </w:tc>
        <w:tc>
          <w:tcPr>
            <w:tcW w:w="512" w:type="dxa"/>
          </w:tcPr>
          <w:p w14:paraId="731AD2FA" w14:textId="77777777" w:rsidR="00D644E9" w:rsidRDefault="000600CA">
            <w:pPr>
              <w:spacing w:after="0"/>
            </w:pPr>
            <w:r>
              <w:rPr>
                <w:sz w:val="16"/>
              </w:rPr>
              <w:t>D1</w:t>
            </w:r>
          </w:p>
        </w:tc>
        <w:tc>
          <w:tcPr>
            <w:tcW w:w="4553" w:type="dxa"/>
          </w:tcPr>
          <w:p w14:paraId="671CBDCC" w14:textId="77777777" w:rsidR="00D644E9" w:rsidRDefault="000600CA">
            <w:pPr>
              <w:spacing w:after="0"/>
            </w:pPr>
            <w:r>
              <w:rPr>
                <w:sz w:val="16"/>
              </w:rPr>
              <w:t>Existe un catálogo aprobado de tools/MCP servers con dueño, versión, método de autenticación y clasificación de datos; el acceso se centraliza en Toolbox (GA) o a través de un gateway, y la gobernanza de tools con AI Gateway está marcada como (preview).</w:t>
            </w:r>
          </w:p>
        </w:tc>
        <w:tc>
          <w:tcPr>
            <w:tcW w:w="3756" w:type="dxa"/>
          </w:tcPr>
          <w:p w14:paraId="54AA3A69" w14:textId="77777777" w:rsidR="00D644E9" w:rsidRDefault="000600CA">
            <w:pPr>
              <w:spacing w:after="0"/>
            </w:pPr>
            <w:r>
              <w:rPr>
                <w:sz w:val="16"/>
              </w:rPr>
              <w:t>Sin catálogo no sabes qué puede ejecutar un agente ni quién responde si una tool cambia su comportamiento.</w:t>
            </w:r>
          </w:p>
        </w:tc>
        <w:tc>
          <w:tcPr>
            <w:tcW w:w="2959" w:type="dxa"/>
          </w:tcPr>
          <w:p w14:paraId="218FBF4A" w14:textId="77777777" w:rsidR="00D644E9" w:rsidRDefault="000600CA">
            <w:pPr>
              <w:spacing w:after="0"/>
            </w:pPr>
            <w:hyperlink r:id="rId34">
              <w:r>
                <w:rPr>
                  <w:color w:val="0563C1"/>
                  <w:sz w:val="16"/>
                  <w:u w:val="single"/>
                </w:rPr>
                <w:t>Toolbox</w:t>
              </w:r>
            </w:hyperlink>
          </w:p>
          <w:p w14:paraId="22AA3800" w14:textId="77777777" w:rsidR="00D644E9" w:rsidRDefault="000600CA">
            <w:pPr>
              <w:spacing w:after="0"/>
            </w:pPr>
            <w:hyperlink r:id="rId35">
              <w:r>
                <w:rPr>
                  <w:color w:val="0563C1"/>
                  <w:sz w:val="16"/>
                  <w:u w:val="single"/>
                </w:rPr>
                <w:t>Buenas prácticas de herramientas</w:t>
              </w:r>
            </w:hyperlink>
          </w:p>
          <w:p w14:paraId="773321BA" w14:textId="77777777" w:rsidR="00D644E9" w:rsidRDefault="000600CA">
            <w:pPr>
              <w:spacing w:after="0"/>
            </w:pPr>
            <w:hyperlink r:id="rId36">
              <w:r>
                <w:rPr>
                  <w:color w:val="0563C1"/>
                  <w:sz w:val="16"/>
                  <w:u w:val="single"/>
                </w:rPr>
                <w:t>Gateway de IA generativa</w:t>
              </w:r>
            </w:hyperlink>
          </w:p>
        </w:tc>
        <w:tc>
          <w:tcPr>
            <w:tcW w:w="2732" w:type="dxa"/>
          </w:tcPr>
          <w:p w14:paraId="7FA1D294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foundry\agents\concepts\toolbox-overview.md</w:t>
            </w:r>
          </w:p>
          <w:p w14:paraId="7E187B43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foundry\agents\concepts\tool-best-practice.md</w:t>
            </w:r>
          </w:p>
          <w:p w14:paraId="0C3DB127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architecture-center-ai\ai-ml\guide\generative-ai-gateway.md</w:t>
            </w:r>
          </w:p>
        </w:tc>
      </w:tr>
      <w:tr w:rsidR="00D644E9" w14:paraId="7914F1C9" w14:textId="77777777">
        <w:trPr>
          <w:cantSplit/>
          <w:jc w:val="center"/>
        </w:trPr>
        <w:tc>
          <w:tcPr>
            <w:tcW w:w="626" w:type="dxa"/>
          </w:tcPr>
          <w:p w14:paraId="6B306620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3ACAC67F" w14:textId="77777777" w:rsidR="00D644E9" w:rsidRDefault="000600CA">
            <w:pPr>
              <w:spacing w:after="0"/>
            </w:pPr>
            <w:r>
              <w:rPr>
                <w:sz w:val="16"/>
              </w:rPr>
              <w:t>D2</w:t>
            </w:r>
          </w:p>
        </w:tc>
        <w:tc>
          <w:tcPr>
            <w:tcW w:w="4553" w:type="dxa"/>
          </w:tcPr>
          <w:p w14:paraId="102DCD22" w14:textId="77777777" w:rsidR="00D644E9" w:rsidRDefault="000600CA">
            <w:pPr>
              <w:spacing w:after="0"/>
            </w:pPr>
            <w:r>
              <w:rPr>
                <w:sz w:val="16"/>
              </w:rPr>
              <w:t>Tratas la salida de cada tool como entrada no confiable: validas el esquema, aceptas solo campos y operaciones conocidas y no dejas que el contenido devuelto modifique instrucciones ni permisos del agente.</w:t>
            </w:r>
          </w:p>
        </w:tc>
        <w:tc>
          <w:tcPr>
            <w:tcW w:w="3756" w:type="dxa"/>
          </w:tcPr>
          <w:p w14:paraId="48234068" w14:textId="77777777" w:rsidR="00D644E9" w:rsidRDefault="000600CA">
            <w:pPr>
              <w:spacing w:after="0"/>
            </w:pPr>
            <w:r>
              <w:rPr>
                <w:sz w:val="16"/>
              </w:rPr>
              <w:t>Un MCP server comprometido o una respuesta con instrucciones ocultas puede dirigir al agente (tool poisoning); el modelo no distingue datos de órdenes por sí solo.</w:t>
            </w:r>
          </w:p>
        </w:tc>
        <w:tc>
          <w:tcPr>
            <w:tcW w:w="2959" w:type="dxa"/>
          </w:tcPr>
          <w:p w14:paraId="0B6AB252" w14:textId="77777777" w:rsidR="00D644E9" w:rsidRDefault="000600CA">
            <w:pPr>
              <w:spacing w:after="0"/>
            </w:pPr>
            <w:hyperlink r:id="rId37">
              <w:r>
                <w:rPr>
                  <w:color w:val="0563C1"/>
                  <w:sz w:val="16"/>
                  <w:u w:val="single"/>
                </w:rPr>
                <w:t>Buenas prácticas de herramientas</w:t>
              </w:r>
            </w:hyperlink>
          </w:p>
          <w:p w14:paraId="1747B3C8" w14:textId="77777777" w:rsidR="00D644E9" w:rsidRDefault="000600CA">
            <w:pPr>
              <w:spacing w:after="0"/>
            </w:pPr>
            <w:hyperlink r:id="rId38">
              <w:r>
                <w:rPr>
                  <w:color w:val="0563C1"/>
                  <w:sz w:val="16"/>
                  <w:u w:val="single"/>
                </w:rPr>
                <w:t>Herramienta MCP</w:t>
              </w:r>
            </w:hyperlink>
          </w:p>
        </w:tc>
        <w:tc>
          <w:tcPr>
            <w:tcW w:w="2732" w:type="dxa"/>
          </w:tcPr>
          <w:p w14:paraId="34C8B7C7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foundry\agents\concepts\tool-best-practice.md</w:t>
            </w:r>
          </w:p>
          <w:p w14:paraId="133F2902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foundry\agents\how-to\tools\model-context-protocol.md</w:t>
            </w:r>
          </w:p>
        </w:tc>
      </w:tr>
      <w:tr w:rsidR="00D644E9" w14:paraId="2802A8DC" w14:textId="77777777">
        <w:trPr>
          <w:cantSplit/>
          <w:jc w:val="center"/>
        </w:trPr>
        <w:tc>
          <w:tcPr>
            <w:tcW w:w="626" w:type="dxa"/>
          </w:tcPr>
          <w:p w14:paraId="338CB7D6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3875647C" w14:textId="77777777" w:rsidR="00D644E9" w:rsidRDefault="000600CA">
            <w:pPr>
              <w:spacing w:after="0"/>
            </w:pPr>
            <w:r>
              <w:rPr>
                <w:sz w:val="16"/>
              </w:rPr>
              <w:t>D3</w:t>
            </w:r>
          </w:p>
        </w:tc>
        <w:tc>
          <w:tcPr>
            <w:tcW w:w="4553" w:type="dxa"/>
          </w:tcPr>
          <w:p w14:paraId="0A9CB76D" w14:textId="77777777" w:rsidR="00D644E9" w:rsidRDefault="000600CA">
            <w:pPr>
              <w:spacing w:after="0"/>
            </w:pPr>
            <w:r>
              <w:rPr>
                <w:sz w:val="16"/>
              </w:rPr>
              <w:t>Las acciones con efecto (transferencias, cambios de datos, envíos externos) exigen aprobación humana explícita, con registro de quién aprobó qué; v1 puede ser solo lectura.</w:t>
            </w:r>
          </w:p>
        </w:tc>
        <w:tc>
          <w:tcPr>
            <w:tcW w:w="3756" w:type="dxa"/>
          </w:tcPr>
          <w:p w14:paraId="393583ED" w14:textId="77777777" w:rsidR="00D644E9" w:rsidRDefault="000600CA">
            <w:pPr>
              <w:spacing w:after="0"/>
            </w:pPr>
            <w:r>
              <w:rPr>
                <w:sz w:val="16"/>
              </w:rPr>
              <w:t>Es el control de último recurso cuando fallan filtros y evaluaciones; en banca además es un requisito de segregación de funciones.</w:t>
            </w:r>
          </w:p>
        </w:tc>
        <w:tc>
          <w:tcPr>
            <w:tcW w:w="2959" w:type="dxa"/>
          </w:tcPr>
          <w:p w14:paraId="5512DED5" w14:textId="77777777" w:rsidR="00D644E9" w:rsidRDefault="000600CA">
            <w:pPr>
              <w:spacing w:after="0"/>
            </w:pPr>
            <w:hyperlink r:id="rId39">
              <w:r>
                <w:rPr>
                  <w:color w:val="0563C1"/>
                  <w:sz w:val="16"/>
                  <w:u w:val="single"/>
                </w:rPr>
                <w:t>Aprobación humana (HITL)</w:t>
              </w:r>
            </w:hyperlink>
          </w:p>
          <w:p w14:paraId="4FFB7303" w14:textId="77777777" w:rsidR="00D644E9" w:rsidRDefault="000600CA">
            <w:pPr>
              <w:spacing w:after="0"/>
            </w:pPr>
            <w:hyperlink r:id="rId40">
              <w:r>
                <w:rPr>
                  <w:color w:val="0563C1"/>
                  <w:sz w:val="16"/>
                  <w:u w:val="single"/>
                </w:rPr>
                <w:t>Buenas prácticas de herramientas</w:t>
              </w:r>
            </w:hyperlink>
          </w:p>
        </w:tc>
        <w:tc>
          <w:tcPr>
            <w:tcW w:w="2732" w:type="dxa"/>
          </w:tcPr>
          <w:p w14:paraId="7C780790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foundry\agents\how-to\add-human-in-the-loop.md</w:t>
            </w:r>
          </w:p>
          <w:p w14:paraId="23C71879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foundry\agents\concepts\tool-best-practice.md</w:t>
            </w:r>
          </w:p>
        </w:tc>
      </w:tr>
      <w:tr w:rsidR="00D644E9" w14:paraId="3B94AD70" w14:textId="77777777">
        <w:trPr>
          <w:cantSplit/>
          <w:jc w:val="center"/>
        </w:trPr>
        <w:tc>
          <w:tcPr>
            <w:tcW w:w="626" w:type="dxa"/>
          </w:tcPr>
          <w:p w14:paraId="0914BDAB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7BBCF001" w14:textId="77777777" w:rsidR="00D644E9" w:rsidRDefault="000600CA">
            <w:pPr>
              <w:spacing w:after="0"/>
            </w:pPr>
            <w:r>
              <w:rPr>
                <w:sz w:val="16"/>
              </w:rPr>
              <w:t>D4</w:t>
            </w:r>
          </w:p>
        </w:tc>
        <w:tc>
          <w:tcPr>
            <w:tcW w:w="4553" w:type="dxa"/>
          </w:tcPr>
          <w:p w14:paraId="1A5060FC" w14:textId="77777777" w:rsidR="00D644E9" w:rsidRDefault="000600CA">
            <w:pPr>
              <w:spacing w:after="0"/>
            </w:pPr>
            <w:r>
              <w:rPr>
                <w:sz w:val="16"/>
              </w:rPr>
              <w:t>Revisaste y versionas las descripciones de tools y fijas su versión (para detectar poisoning y shadowing), evitas tools que ejecuten código arbitrario y restringes la salida de red del hosted agent con controles de egress (preview) y red privada.</w:t>
            </w:r>
          </w:p>
        </w:tc>
        <w:tc>
          <w:tcPr>
            <w:tcW w:w="3756" w:type="dxa"/>
          </w:tcPr>
          <w:p w14:paraId="18A55886" w14:textId="77777777" w:rsidR="00D644E9" w:rsidRDefault="000600CA">
            <w:pPr>
              <w:spacing w:after="0"/>
            </w:pPr>
            <w:r>
              <w:rPr>
                <w:sz w:val="16"/>
              </w:rPr>
              <w:t>Si el agente puede llamar a cualquier destino, un prompt malicioso puede exfiltrar datos; la red es la última capa independiente del modelo.</w:t>
            </w:r>
          </w:p>
        </w:tc>
        <w:tc>
          <w:tcPr>
            <w:tcW w:w="2959" w:type="dxa"/>
          </w:tcPr>
          <w:p w14:paraId="1A41D045" w14:textId="77777777" w:rsidR="00D644E9" w:rsidRDefault="000600CA">
            <w:pPr>
              <w:spacing w:after="0"/>
            </w:pPr>
            <w:hyperlink r:id="rId41">
              <w:r>
                <w:rPr>
                  <w:color w:val="0563C1"/>
                  <w:sz w:val="16"/>
                  <w:u w:val="single"/>
                </w:rPr>
                <w:t>Guardrails para hosted agents</w:t>
              </w:r>
            </w:hyperlink>
          </w:p>
          <w:p w14:paraId="69DF9465" w14:textId="77777777" w:rsidR="00D644E9" w:rsidRDefault="000600CA">
            <w:pPr>
              <w:spacing w:after="0"/>
            </w:pPr>
            <w:hyperlink r:id="rId42">
              <w:r>
                <w:rPr>
                  <w:color w:val="0563C1"/>
                  <w:sz w:val="16"/>
                  <w:u w:val="single"/>
                </w:rPr>
                <w:t>Opciones de red</w:t>
              </w:r>
            </w:hyperlink>
          </w:p>
          <w:p w14:paraId="414CE2C6" w14:textId="77777777" w:rsidR="00D644E9" w:rsidRDefault="000600CA">
            <w:pPr>
              <w:spacing w:after="0"/>
            </w:pPr>
            <w:hyperlink r:id="rId43">
              <w:r>
                <w:rPr>
                  <w:color w:val="0563C1"/>
                  <w:sz w:val="16"/>
                  <w:u w:val="single"/>
                </w:rPr>
                <w:t>Buenas prácticas de herramientas</w:t>
              </w:r>
            </w:hyperlink>
          </w:p>
        </w:tc>
        <w:tc>
          <w:tcPr>
            <w:tcW w:w="2732" w:type="dxa"/>
          </w:tcPr>
          <w:p w14:paraId="3DA497FA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foundry\agents\how-to\add-hosted-agent-guardrails.md</w:t>
            </w:r>
          </w:p>
          <w:p w14:paraId="6E6727B0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foundry\agents\concepts\networking-options.md</w:t>
            </w:r>
          </w:p>
          <w:p w14:paraId="066A6AED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foundry\agents\concepts\tool-best-practice.md</w:t>
            </w:r>
          </w:p>
        </w:tc>
      </w:tr>
      <w:tr w:rsidR="00D644E9" w14:paraId="5CD3319E" w14:textId="77777777">
        <w:trPr>
          <w:cantSplit/>
          <w:jc w:val="center"/>
        </w:trPr>
        <w:tc>
          <w:tcPr>
            <w:tcW w:w="626" w:type="dxa"/>
          </w:tcPr>
          <w:p w14:paraId="51CE6306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75B9C600" w14:textId="77777777" w:rsidR="00D644E9" w:rsidRDefault="000600CA">
            <w:pPr>
              <w:spacing w:after="0"/>
            </w:pPr>
            <w:r>
              <w:rPr>
                <w:sz w:val="16"/>
              </w:rPr>
              <w:t>D5</w:t>
            </w:r>
          </w:p>
        </w:tc>
        <w:tc>
          <w:tcPr>
            <w:tcW w:w="4553" w:type="dxa"/>
          </w:tcPr>
          <w:p w14:paraId="72EDF29F" w14:textId="77777777" w:rsidR="00D644E9" w:rsidRDefault="000600CA">
            <w:pPr>
              <w:spacing w:after="0"/>
            </w:pPr>
            <w:r>
              <w:rPr>
                <w:sz w:val="16"/>
              </w:rPr>
              <w:t>Para agentes remotos (A2A) definiste autenticación compartida o individual según si debe persistir el contexto del usuario (OAuth identity passthrough), validas qué agentes puede invocar el tuyo y asumes las limitaciones actuales del target (solo texto, sin streaming).</w:t>
            </w:r>
          </w:p>
        </w:tc>
        <w:tc>
          <w:tcPr>
            <w:tcW w:w="3756" w:type="dxa"/>
          </w:tcPr>
          <w:p w14:paraId="2D81AB15" w14:textId="77777777" w:rsidR="00D644E9" w:rsidRDefault="000600CA">
            <w:pPr>
              <w:spacing w:after="0"/>
            </w:pPr>
            <w:r>
              <w:rPr>
                <w:sz w:val="16"/>
              </w:rPr>
              <w:t>Cada salto entre agentes es una frontera de confianza; sin identidad propagada pierdes la trazabilidad y puedes escalar privilegios sin querer.</w:t>
            </w:r>
          </w:p>
        </w:tc>
        <w:tc>
          <w:tcPr>
            <w:tcW w:w="2959" w:type="dxa"/>
          </w:tcPr>
          <w:p w14:paraId="628D1F11" w14:textId="77777777" w:rsidR="00D644E9" w:rsidRDefault="000600CA">
            <w:pPr>
              <w:spacing w:after="0"/>
            </w:pPr>
            <w:hyperlink r:id="rId44">
              <w:r>
                <w:rPr>
                  <w:color w:val="0563C1"/>
                  <w:sz w:val="16"/>
                  <w:u w:val="single"/>
                </w:rPr>
                <w:t>Autenticación A2A</w:t>
              </w:r>
            </w:hyperlink>
          </w:p>
          <w:p w14:paraId="5AEDB23B" w14:textId="77777777" w:rsidR="00D644E9" w:rsidRDefault="000600CA">
            <w:pPr>
              <w:spacing w:after="0"/>
            </w:pPr>
            <w:hyperlink r:id="rId45">
              <w:r>
                <w:rPr>
                  <w:color w:val="0563C1"/>
                  <w:sz w:val="16"/>
                  <w:u w:val="single"/>
                </w:rPr>
                <w:t>Herramienta A2A</w:t>
              </w:r>
            </w:hyperlink>
          </w:p>
        </w:tc>
        <w:tc>
          <w:tcPr>
            <w:tcW w:w="2732" w:type="dxa"/>
          </w:tcPr>
          <w:p w14:paraId="6BDB6037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foundry\agents\concepts\agent-to-agent-authentication.md</w:t>
            </w:r>
          </w:p>
          <w:p w14:paraId="5A071591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foundry\agents\how-to\tools\agent-to-agent.md</w:t>
            </w:r>
          </w:p>
        </w:tc>
      </w:tr>
    </w:tbl>
    <w:p w14:paraId="2D23615A" w14:textId="77777777" w:rsidR="00D644E9" w:rsidRDefault="00D644E9">
      <w:pPr>
        <w:spacing w:after="40"/>
      </w:pPr>
    </w:p>
    <w:p w14:paraId="415A8333" w14:textId="77777777" w:rsidR="00D644E9" w:rsidRDefault="000600CA">
      <w:pPr>
        <w:pStyle w:val="Heading2"/>
      </w:pPr>
      <w:r>
        <w:t>E. Seguridad de contenido y red teaming</w:t>
      </w:r>
    </w:p>
    <w:tbl>
      <w:tblPr>
        <w:tblStyle w:val="TableGrid"/>
        <w:tblW w:w="0" w:type="auto"/>
        <w:jc w:val="center"/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626"/>
        <w:gridCol w:w="512"/>
        <w:gridCol w:w="4553"/>
        <w:gridCol w:w="3756"/>
        <w:gridCol w:w="2959"/>
        <w:gridCol w:w="2732"/>
      </w:tblGrid>
      <w:tr w:rsidR="00D644E9" w14:paraId="740C4D68" w14:textId="77777777">
        <w:trPr>
          <w:tblHeader/>
          <w:jc w:val="center"/>
        </w:trPr>
        <w:tc>
          <w:tcPr>
            <w:tcW w:w="626" w:type="dxa"/>
            <w:shd w:val="clear" w:color="auto" w:fill="0078D4"/>
          </w:tcPr>
          <w:p w14:paraId="48681CA2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Hecho</w:t>
            </w:r>
          </w:p>
        </w:tc>
        <w:tc>
          <w:tcPr>
            <w:tcW w:w="512" w:type="dxa"/>
            <w:shd w:val="clear" w:color="auto" w:fill="0078D4"/>
          </w:tcPr>
          <w:p w14:paraId="5D1F5C46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4553" w:type="dxa"/>
            <w:shd w:val="clear" w:color="auto" w:fill="0078D4"/>
          </w:tcPr>
          <w:p w14:paraId="1723D913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Ítem a verificar</w:t>
            </w:r>
          </w:p>
        </w:tc>
        <w:tc>
          <w:tcPr>
            <w:tcW w:w="3756" w:type="dxa"/>
            <w:shd w:val="clear" w:color="auto" w:fill="0078D4"/>
          </w:tcPr>
          <w:p w14:paraId="554B7A1A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Por qué importa</w:t>
            </w:r>
          </w:p>
        </w:tc>
        <w:tc>
          <w:tcPr>
            <w:tcW w:w="2959" w:type="dxa"/>
            <w:shd w:val="clear" w:color="auto" w:fill="0078D4"/>
          </w:tcPr>
          <w:p w14:paraId="4B982D3B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Referencia oficial (Learn)</w:t>
            </w:r>
          </w:p>
        </w:tc>
        <w:tc>
          <w:tcPr>
            <w:tcW w:w="2732" w:type="dxa"/>
            <w:shd w:val="clear" w:color="auto" w:fill="0078D4"/>
          </w:tcPr>
          <w:p w14:paraId="280C1EF4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Ruta offline (`docs-oficiales\`)</w:t>
            </w:r>
          </w:p>
        </w:tc>
      </w:tr>
      <w:tr w:rsidR="00D644E9" w14:paraId="26196C99" w14:textId="77777777">
        <w:trPr>
          <w:cantSplit/>
          <w:jc w:val="center"/>
        </w:trPr>
        <w:tc>
          <w:tcPr>
            <w:tcW w:w="626" w:type="dxa"/>
          </w:tcPr>
          <w:p w14:paraId="170275A9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54689701" w14:textId="77777777" w:rsidR="00D644E9" w:rsidRDefault="000600CA">
            <w:pPr>
              <w:spacing w:after="0"/>
            </w:pPr>
            <w:r>
              <w:rPr>
                <w:sz w:val="16"/>
              </w:rPr>
              <w:t>E1</w:t>
            </w:r>
          </w:p>
        </w:tc>
        <w:tc>
          <w:tcPr>
            <w:tcW w:w="4553" w:type="dxa"/>
          </w:tcPr>
          <w:p w14:paraId="4B75ED8F" w14:textId="77777777" w:rsidR="00D644E9" w:rsidRDefault="000600CA">
            <w:pPr>
              <w:spacing w:after="0"/>
            </w:pPr>
            <w:r>
              <w:rPr>
                <w:sz w:val="16"/>
              </w:rPr>
              <w:t>Asignaste un guardrail explícito al agente en lugar de depender del predeterminado, revisaste los cuatro puntos de intervención (entrada, tool call, tool response, salida) y documentaste lo que queda sin cubrir: el guardrail del agente reemplaza al del modelo y los controles de tool call/response (preview) aplican solo a las tools soportadas.</w:t>
            </w:r>
          </w:p>
        </w:tc>
        <w:tc>
          <w:tcPr>
            <w:tcW w:w="3756" w:type="dxa"/>
          </w:tcPr>
          <w:p w14:paraId="06276BE2" w14:textId="77777777" w:rsidR="00D644E9" w:rsidRDefault="000600CA">
            <w:pPr>
              <w:spacing w:after="0"/>
            </w:pPr>
            <w:r>
              <w:rPr>
                <w:sz w:val="16"/>
              </w:rPr>
              <w:t>Un guardrail solo en el modelo deja sin proteger la entrada de documentos y las respuestas de tools; asumir cobertura total produce falsa seguridad.</w:t>
            </w:r>
          </w:p>
        </w:tc>
        <w:tc>
          <w:tcPr>
            <w:tcW w:w="2959" w:type="dxa"/>
          </w:tcPr>
          <w:p w14:paraId="316263EA" w14:textId="77777777" w:rsidR="00D644E9" w:rsidRDefault="000600CA">
            <w:pPr>
              <w:spacing w:after="0"/>
            </w:pPr>
            <w:hyperlink r:id="rId46">
              <w:r>
                <w:rPr>
                  <w:color w:val="0563C1"/>
                  <w:sz w:val="16"/>
                  <w:u w:val="single"/>
                </w:rPr>
                <w:t>Guardrails: visión general</w:t>
              </w:r>
            </w:hyperlink>
          </w:p>
          <w:p w14:paraId="269FE54C" w14:textId="77777777" w:rsidR="00D644E9" w:rsidRDefault="000600CA">
            <w:pPr>
              <w:spacing w:after="0"/>
            </w:pPr>
            <w:hyperlink r:id="rId47">
              <w:r>
                <w:rPr>
                  <w:color w:val="0563C1"/>
                  <w:sz w:val="16"/>
                  <w:u w:val="single"/>
                </w:rPr>
                <w:t>Puntos de intervención</w:t>
              </w:r>
            </w:hyperlink>
          </w:p>
          <w:p w14:paraId="5F2C4D8E" w14:textId="77777777" w:rsidR="00D644E9" w:rsidRDefault="000600CA">
            <w:pPr>
              <w:spacing w:after="0"/>
            </w:pPr>
            <w:hyperlink r:id="rId48">
              <w:r>
                <w:rPr>
                  <w:color w:val="0563C1"/>
                  <w:sz w:val="16"/>
                  <w:u w:val="single"/>
                </w:rPr>
                <w:t>Guardrails para hosted agents</w:t>
              </w:r>
            </w:hyperlink>
          </w:p>
        </w:tc>
        <w:tc>
          <w:tcPr>
            <w:tcW w:w="2732" w:type="dxa"/>
          </w:tcPr>
          <w:p w14:paraId="41A81C39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foundry\guardrails\guardrails-overview.md</w:t>
            </w:r>
          </w:p>
          <w:p w14:paraId="694F962A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foundry\guardrails\intervention-points.md</w:t>
            </w:r>
          </w:p>
          <w:p w14:paraId="2D40B2D5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foundry\agents\how-to\add-hosted-agent-guardrails.md</w:t>
            </w:r>
          </w:p>
        </w:tc>
      </w:tr>
      <w:tr w:rsidR="00D644E9" w14:paraId="2433F0B1" w14:textId="77777777">
        <w:trPr>
          <w:cantSplit/>
          <w:jc w:val="center"/>
        </w:trPr>
        <w:tc>
          <w:tcPr>
            <w:tcW w:w="626" w:type="dxa"/>
          </w:tcPr>
          <w:p w14:paraId="3867ED8B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0610BDAC" w14:textId="77777777" w:rsidR="00D644E9" w:rsidRDefault="000600CA">
            <w:pPr>
              <w:spacing w:after="0"/>
            </w:pPr>
            <w:r>
              <w:rPr>
                <w:sz w:val="16"/>
              </w:rPr>
              <w:t>E2</w:t>
            </w:r>
          </w:p>
        </w:tc>
        <w:tc>
          <w:tcPr>
            <w:tcW w:w="4553" w:type="dxa"/>
          </w:tcPr>
          <w:p w14:paraId="4B493099" w14:textId="77777777" w:rsidR="00D644E9" w:rsidRDefault="000600CA">
            <w:pPr>
              <w:spacing w:after="0"/>
            </w:pPr>
            <w:r>
              <w:rPr>
                <w:sz w:val="16"/>
              </w:rPr>
              <w:t>Prompt Shields (ataques de usuario y de documento) está activo y lo probaste con casos adversariales en español, no solo en inglés.</w:t>
            </w:r>
          </w:p>
        </w:tc>
        <w:tc>
          <w:tcPr>
            <w:tcW w:w="3756" w:type="dxa"/>
          </w:tcPr>
          <w:p w14:paraId="51DA3180" w14:textId="77777777" w:rsidR="00D644E9" w:rsidRDefault="000600CA">
            <w:pPr>
              <w:spacing w:after="0"/>
            </w:pPr>
            <w:r>
              <w:rPr>
                <w:sz w:val="16"/>
              </w:rPr>
              <w:t>La documentación indica que los modelos de ataque se entrenaron y evaluaron principalmente con contenido en inglés y que el desempeño puede variar en otros idiomas; hay que medirlo con tus casos.</w:t>
            </w:r>
          </w:p>
        </w:tc>
        <w:tc>
          <w:tcPr>
            <w:tcW w:w="2959" w:type="dxa"/>
          </w:tcPr>
          <w:p w14:paraId="3AA9E620" w14:textId="77777777" w:rsidR="00D644E9" w:rsidRDefault="000600CA">
            <w:pPr>
              <w:spacing w:after="0"/>
            </w:pPr>
            <w:hyperlink r:id="rId49">
              <w:r>
                <w:rPr>
                  <w:color w:val="0563C1"/>
                  <w:sz w:val="16"/>
                  <w:u w:val="single"/>
                </w:rPr>
                <w:t>Prompt Shields</w:t>
              </w:r>
            </w:hyperlink>
          </w:p>
        </w:tc>
        <w:tc>
          <w:tcPr>
            <w:tcW w:w="2732" w:type="dxa"/>
          </w:tcPr>
          <w:p w14:paraId="22EE1F4F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foundry\openai\concepts\content-filter-prompt-shields.md</w:t>
            </w:r>
          </w:p>
        </w:tc>
      </w:tr>
      <w:tr w:rsidR="00D644E9" w14:paraId="34F89526" w14:textId="77777777">
        <w:trPr>
          <w:cantSplit/>
          <w:jc w:val="center"/>
        </w:trPr>
        <w:tc>
          <w:tcPr>
            <w:tcW w:w="626" w:type="dxa"/>
          </w:tcPr>
          <w:p w14:paraId="77A58BB7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24EDEE62" w14:textId="77777777" w:rsidR="00D644E9" w:rsidRDefault="000600CA">
            <w:pPr>
              <w:spacing w:after="0"/>
            </w:pPr>
            <w:r>
              <w:rPr>
                <w:sz w:val="16"/>
              </w:rPr>
              <w:t>E3</w:t>
            </w:r>
          </w:p>
        </w:tc>
        <w:tc>
          <w:tcPr>
            <w:tcW w:w="4553" w:type="dxa"/>
          </w:tcPr>
          <w:p w14:paraId="56DEE5AA" w14:textId="77777777" w:rsidR="00D644E9" w:rsidRDefault="000600CA">
            <w:pPr>
              <w:spacing w:after="0"/>
            </w:pPr>
            <w:r>
              <w:rPr>
                <w:sz w:val="16"/>
              </w:rPr>
              <w:t>Definiste controles para desvío de tarea y fuga de datos: Task Adherence (preview), y los evaluadores de Prohibited Actions y Sensitive Data Leakage, con umbrales acordados con negocio y seguridad.</w:t>
            </w:r>
          </w:p>
        </w:tc>
        <w:tc>
          <w:tcPr>
            <w:tcW w:w="3756" w:type="dxa"/>
          </w:tcPr>
          <w:p w14:paraId="401D9036" w14:textId="77777777" w:rsidR="00D644E9" w:rsidRDefault="000600CA">
            <w:pPr>
              <w:spacing w:after="0"/>
            </w:pPr>
            <w:r>
              <w:rPr>
                <w:sz w:val="16"/>
              </w:rPr>
              <w:t>Los ataques más costosos no son contenido ofensivo, sino un agente que hace algo que no debía o revela lo que no debía.</w:t>
            </w:r>
          </w:p>
        </w:tc>
        <w:tc>
          <w:tcPr>
            <w:tcW w:w="2959" w:type="dxa"/>
          </w:tcPr>
          <w:p w14:paraId="49323F35" w14:textId="77777777" w:rsidR="00D644E9" w:rsidRDefault="000600CA">
            <w:pPr>
              <w:spacing w:after="0"/>
            </w:pPr>
            <w:hyperlink r:id="rId50">
              <w:r>
                <w:rPr>
                  <w:color w:val="0563C1"/>
                  <w:sz w:val="16"/>
                  <w:u w:val="single"/>
                </w:rPr>
                <w:t>Task Adherence (preview)</w:t>
              </w:r>
            </w:hyperlink>
          </w:p>
          <w:p w14:paraId="27AFBB0F" w14:textId="77777777" w:rsidR="00D644E9" w:rsidRDefault="000600CA">
            <w:pPr>
              <w:spacing w:after="0"/>
            </w:pPr>
            <w:hyperlink r:id="rId51">
              <w:r>
                <w:rPr>
                  <w:color w:val="0563C1"/>
                  <w:sz w:val="16"/>
                  <w:u w:val="single"/>
                </w:rPr>
                <w:t>Evaluadores integrados</w:t>
              </w:r>
            </w:hyperlink>
          </w:p>
        </w:tc>
        <w:tc>
          <w:tcPr>
            <w:tcW w:w="2732" w:type="dxa"/>
          </w:tcPr>
          <w:p w14:paraId="1BA7EA05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foundry\guardrails\task-adherence.md</w:t>
            </w:r>
          </w:p>
          <w:p w14:paraId="13C984CE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foundry\concepts\built-in-evaluators.md</w:t>
            </w:r>
          </w:p>
        </w:tc>
      </w:tr>
      <w:tr w:rsidR="00D644E9" w14:paraId="708400E3" w14:textId="77777777">
        <w:trPr>
          <w:cantSplit/>
          <w:jc w:val="center"/>
        </w:trPr>
        <w:tc>
          <w:tcPr>
            <w:tcW w:w="626" w:type="dxa"/>
          </w:tcPr>
          <w:p w14:paraId="3F7EA321" w14:textId="77777777" w:rsidR="00D644E9" w:rsidRDefault="000600CA">
            <w:pPr>
              <w:spacing w:after="0"/>
            </w:pPr>
            <w:r>
              <w:rPr>
                <w:sz w:val="16"/>
              </w:rPr>
              <w:lastRenderedPageBreak/>
              <w:t>☐</w:t>
            </w:r>
          </w:p>
        </w:tc>
        <w:tc>
          <w:tcPr>
            <w:tcW w:w="512" w:type="dxa"/>
          </w:tcPr>
          <w:p w14:paraId="7844F809" w14:textId="77777777" w:rsidR="00D644E9" w:rsidRDefault="000600CA">
            <w:pPr>
              <w:spacing w:after="0"/>
            </w:pPr>
            <w:r>
              <w:rPr>
                <w:sz w:val="16"/>
              </w:rPr>
              <w:t>E4</w:t>
            </w:r>
          </w:p>
        </w:tc>
        <w:tc>
          <w:tcPr>
            <w:tcW w:w="4553" w:type="dxa"/>
          </w:tcPr>
          <w:p w14:paraId="08EC6350" w14:textId="77777777" w:rsidR="00D644E9" w:rsidRDefault="000600CA">
            <w:pPr>
              <w:spacing w:after="0"/>
            </w:pPr>
            <w:r>
              <w:rPr>
                <w:sz w:val="16"/>
              </w:rPr>
              <w:t>Ejecutas red teaming (AI Red Teaming Agent) antes de producción y después de cada cambio relevante de modelo, prompt o tools; registras la tasa de éxito de ataques (ASR), los hallazgos y su estado.</w:t>
            </w:r>
          </w:p>
        </w:tc>
        <w:tc>
          <w:tcPr>
            <w:tcW w:w="3756" w:type="dxa"/>
          </w:tcPr>
          <w:p w14:paraId="6FAAB938" w14:textId="77777777" w:rsidR="00D644E9" w:rsidRDefault="000600CA">
            <w:pPr>
              <w:spacing w:after="0"/>
            </w:pPr>
            <w:r>
              <w:rPr>
                <w:sz w:val="16"/>
              </w:rPr>
              <w:t>Las pruebas manuales no escalan; un baseline de ASR permite saber si un cambio empeoró la postura de seguridad.</w:t>
            </w:r>
          </w:p>
        </w:tc>
        <w:tc>
          <w:tcPr>
            <w:tcW w:w="2959" w:type="dxa"/>
          </w:tcPr>
          <w:p w14:paraId="03908C4A" w14:textId="77777777" w:rsidR="00D644E9" w:rsidRDefault="000600CA">
            <w:pPr>
              <w:spacing w:after="0"/>
            </w:pPr>
            <w:hyperlink r:id="rId52">
              <w:r>
                <w:rPr>
                  <w:color w:val="0563C1"/>
                  <w:sz w:val="16"/>
                  <w:u w:val="single"/>
                </w:rPr>
                <w:t>AI Red Teaming Agent</w:t>
              </w:r>
            </w:hyperlink>
          </w:p>
        </w:tc>
        <w:tc>
          <w:tcPr>
            <w:tcW w:w="2732" w:type="dxa"/>
          </w:tcPr>
          <w:p w14:paraId="5B629892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foundry\concepts\ai-red-teaming-agent.md</w:t>
            </w:r>
          </w:p>
        </w:tc>
      </w:tr>
    </w:tbl>
    <w:p w14:paraId="1322FB3B" w14:textId="77777777" w:rsidR="00D644E9" w:rsidRDefault="00D644E9">
      <w:pPr>
        <w:spacing w:after="40"/>
      </w:pPr>
    </w:p>
    <w:p w14:paraId="400CB62A" w14:textId="77777777" w:rsidR="00D644E9" w:rsidRDefault="000600CA">
      <w:pPr>
        <w:pStyle w:val="Heading2"/>
      </w:pPr>
      <w:r>
        <w:t>F. Evaluaciones y CI/CD</w:t>
      </w:r>
    </w:p>
    <w:tbl>
      <w:tblPr>
        <w:tblStyle w:val="TableGrid"/>
        <w:tblW w:w="0" w:type="auto"/>
        <w:jc w:val="center"/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626"/>
        <w:gridCol w:w="512"/>
        <w:gridCol w:w="4553"/>
        <w:gridCol w:w="3756"/>
        <w:gridCol w:w="2959"/>
        <w:gridCol w:w="2732"/>
      </w:tblGrid>
      <w:tr w:rsidR="00D644E9" w14:paraId="24CA8E5E" w14:textId="77777777">
        <w:trPr>
          <w:tblHeader/>
          <w:jc w:val="center"/>
        </w:trPr>
        <w:tc>
          <w:tcPr>
            <w:tcW w:w="626" w:type="dxa"/>
            <w:shd w:val="clear" w:color="auto" w:fill="0078D4"/>
          </w:tcPr>
          <w:p w14:paraId="42B537C8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Hecho</w:t>
            </w:r>
          </w:p>
        </w:tc>
        <w:tc>
          <w:tcPr>
            <w:tcW w:w="512" w:type="dxa"/>
            <w:shd w:val="clear" w:color="auto" w:fill="0078D4"/>
          </w:tcPr>
          <w:p w14:paraId="3D29DB48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4553" w:type="dxa"/>
            <w:shd w:val="clear" w:color="auto" w:fill="0078D4"/>
          </w:tcPr>
          <w:p w14:paraId="09CE3B04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Ítem a verificar</w:t>
            </w:r>
          </w:p>
        </w:tc>
        <w:tc>
          <w:tcPr>
            <w:tcW w:w="3756" w:type="dxa"/>
            <w:shd w:val="clear" w:color="auto" w:fill="0078D4"/>
          </w:tcPr>
          <w:p w14:paraId="47BAC478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Por qué importa</w:t>
            </w:r>
          </w:p>
        </w:tc>
        <w:tc>
          <w:tcPr>
            <w:tcW w:w="2959" w:type="dxa"/>
            <w:shd w:val="clear" w:color="auto" w:fill="0078D4"/>
          </w:tcPr>
          <w:p w14:paraId="63101C63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Referencia oficial (Learn)</w:t>
            </w:r>
          </w:p>
        </w:tc>
        <w:tc>
          <w:tcPr>
            <w:tcW w:w="2732" w:type="dxa"/>
            <w:shd w:val="clear" w:color="auto" w:fill="0078D4"/>
          </w:tcPr>
          <w:p w14:paraId="7C1DF846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Ruta offline (`docs-oficiales\`)</w:t>
            </w:r>
          </w:p>
        </w:tc>
      </w:tr>
      <w:tr w:rsidR="00D644E9" w14:paraId="2AF46C77" w14:textId="77777777">
        <w:trPr>
          <w:cantSplit/>
          <w:jc w:val="center"/>
        </w:trPr>
        <w:tc>
          <w:tcPr>
            <w:tcW w:w="626" w:type="dxa"/>
          </w:tcPr>
          <w:p w14:paraId="09C46639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4E92436A" w14:textId="77777777" w:rsidR="00D644E9" w:rsidRDefault="000600CA">
            <w:pPr>
              <w:spacing w:after="0"/>
            </w:pPr>
            <w:r>
              <w:rPr>
                <w:sz w:val="16"/>
              </w:rPr>
              <w:t>F1</w:t>
            </w:r>
          </w:p>
        </w:tc>
        <w:tc>
          <w:tcPr>
            <w:tcW w:w="4553" w:type="dxa"/>
          </w:tcPr>
          <w:p w14:paraId="5C3127E0" w14:textId="77777777" w:rsidR="00D644E9" w:rsidRDefault="000600CA">
            <w:pPr>
              <w:spacing w:after="0"/>
            </w:pPr>
            <w:r>
              <w:rPr>
                <w:sz w:val="16"/>
              </w:rPr>
              <w:t>Tienes un conjunto de evaluación (golden set) versionado, aprobado por negocio, con casos típicos, bordes, adversariales y en español, y lo extiendes con cada incidente.</w:t>
            </w:r>
          </w:p>
        </w:tc>
        <w:tc>
          <w:tcPr>
            <w:tcW w:w="3756" w:type="dxa"/>
          </w:tcPr>
          <w:p w14:paraId="64D3AB91" w14:textId="77777777" w:rsidR="00D644E9" w:rsidRDefault="000600CA">
            <w:pPr>
              <w:spacing w:after="0"/>
            </w:pPr>
            <w:r>
              <w:rPr>
                <w:sz w:val="16"/>
              </w:rPr>
              <w:t>Sin un golden set estable no puedes comparar versiones ni demostrar que un cambio no degradó el servicio.</w:t>
            </w:r>
          </w:p>
        </w:tc>
        <w:tc>
          <w:tcPr>
            <w:tcW w:w="2959" w:type="dxa"/>
          </w:tcPr>
          <w:p w14:paraId="2769C8CC" w14:textId="77777777" w:rsidR="00D644E9" w:rsidRDefault="000600CA">
            <w:pPr>
              <w:spacing w:after="0"/>
            </w:pPr>
            <w:hyperlink r:id="rId53">
              <w:r>
                <w:rPr>
                  <w:color w:val="0563C1"/>
                  <w:sz w:val="16"/>
                  <w:u w:val="single"/>
                </w:rPr>
                <w:t>Evaluaciones: visión general</w:t>
              </w:r>
            </w:hyperlink>
          </w:p>
        </w:tc>
        <w:tc>
          <w:tcPr>
            <w:tcW w:w="2732" w:type="dxa"/>
          </w:tcPr>
          <w:p w14:paraId="2048FBE6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foundry\concepts\evaluation-overview.md</w:t>
            </w:r>
          </w:p>
        </w:tc>
      </w:tr>
      <w:tr w:rsidR="00D644E9" w14:paraId="598647B0" w14:textId="77777777">
        <w:trPr>
          <w:cantSplit/>
          <w:jc w:val="center"/>
        </w:trPr>
        <w:tc>
          <w:tcPr>
            <w:tcW w:w="626" w:type="dxa"/>
          </w:tcPr>
          <w:p w14:paraId="7DF1D6C3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41C8E642" w14:textId="77777777" w:rsidR="00D644E9" w:rsidRDefault="000600CA">
            <w:pPr>
              <w:spacing w:after="0"/>
            </w:pPr>
            <w:r>
              <w:rPr>
                <w:sz w:val="16"/>
              </w:rPr>
              <w:t>F2</w:t>
            </w:r>
          </w:p>
        </w:tc>
        <w:tc>
          <w:tcPr>
            <w:tcW w:w="4553" w:type="dxa"/>
          </w:tcPr>
          <w:p w14:paraId="53364FB6" w14:textId="77777777" w:rsidR="00D644E9" w:rsidRDefault="000600CA">
            <w:pPr>
              <w:spacing w:after="0"/>
            </w:pPr>
            <w:r>
              <w:rPr>
                <w:sz w:val="16"/>
              </w:rPr>
              <w:t>Elegiste evaluadores y umbrales por caso de uso (groundedness, tool call accuracy, indirect attack, prohibited actions…) y revisaste cuáles están en preview antes de usarlos como criterio de aprobación.</w:t>
            </w:r>
          </w:p>
        </w:tc>
        <w:tc>
          <w:tcPr>
            <w:tcW w:w="3756" w:type="dxa"/>
          </w:tcPr>
          <w:p w14:paraId="659CDBDF" w14:textId="77777777" w:rsidR="00D644E9" w:rsidRDefault="000600CA">
            <w:pPr>
              <w:spacing w:after="0"/>
            </w:pPr>
            <w:r>
              <w:rPr>
                <w:sz w:val="16"/>
              </w:rPr>
              <w:t>Un umbral sin justificar se vuelve discutible en la primera falla; un evaluador en preview puede cambiar entre versiones.</w:t>
            </w:r>
          </w:p>
        </w:tc>
        <w:tc>
          <w:tcPr>
            <w:tcW w:w="2959" w:type="dxa"/>
          </w:tcPr>
          <w:p w14:paraId="4DABE349" w14:textId="77777777" w:rsidR="00D644E9" w:rsidRDefault="000600CA">
            <w:pPr>
              <w:spacing w:after="0"/>
            </w:pPr>
            <w:hyperlink r:id="rId54">
              <w:r>
                <w:rPr>
                  <w:color w:val="0563C1"/>
                  <w:sz w:val="16"/>
                  <w:u w:val="single"/>
                </w:rPr>
                <w:t>Evaluadores integrados</w:t>
              </w:r>
            </w:hyperlink>
          </w:p>
          <w:p w14:paraId="563B493A" w14:textId="77777777" w:rsidR="00D644E9" w:rsidRDefault="000600CA">
            <w:pPr>
              <w:spacing w:after="0"/>
            </w:pPr>
            <w:hyperlink r:id="rId55">
              <w:r>
                <w:rPr>
                  <w:color w:val="0563C1"/>
                  <w:sz w:val="16"/>
                  <w:u w:val="single"/>
                </w:rPr>
                <w:t>Disponibilidad general vs preview</w:t>
              </w:r>
            </w:hyperlink>
          </w:p>
        </w:tc>
        <w:tc>
          <w:tcPr>
            <w:tcW w:w="2732" w:type="dxa"/>
          </w:tcPr>
          <w:p w14:paraId="3B750A84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foundry\concepts\built-in-evaluators.md</w:t>
            </w:r>
          </w:p>
          <w:p w14:paraId="142138A1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foundry\concepts\general-availability.md</w:t>
            </w:r>
          </w:p>
        </w:tc>
      </w:tr>
      <w:tr w:rsidR="00D644E9" w14:paraId="34BE2ACC" w14:textId="77777777">
        <w:trPr>
          <w:cantSplit/>
          <w:jc w:val="center"/>
        </w:trPr>
        <w:tc>
          <w:tcPr>
            <w:tcW w:w="626" w:type="dxa"/>
          </w:tcPr>
          <w:p w14:paraId="0F79048E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30B0785B" w14:textId="77777777" w:rsidR="00D644E9" w:rsidRDefault="000600CA">
            <w:pPr>
              <w:spacing w:after="0"/>
            </w:pPr>
            <w:r>
              <w:rPr>
                <w:sz w:val="16"/>
              </w:rPr>
              <w:t>F3</w:t>
            </w:r>
          </w:p>
        </w:tc>
        <w:tc>
          <w:tcPr>
            <w:tcW w:w="4553" w:type="dxa"/>
          </w:tcPr>
          <w:p w14:paraId="7D05FA72" w14:textId="77777777" w:rsidR="00D644E9" w:rsidRDefault="000600CA">
            <w:pPr>
              <w:spacing w:after="0"/>
            </w:pPr>
            <w:r>
              <w:rPr>
                <w:sz w:val="16"/>
              </w:rPr>
              <w:t>La promoción entre entornos pasa por un gate automático (azd, GitHub Actions o Azure DevOps) que ejecuta evaluaciones y red teaming y bloquea la versión si no cumple los umbrales.</w:t>
            </w:r>
          </w:p>
        </w:tc>
        <w:tc>
          <w:tcPr>
            <w:tcW w:w="3756" w:type="dxa"/>
          </w:tcPr>
          <w:p w14:paraId="6965DAE0" w14:textId="77777777" w:rsidR="00D644E9" w:rsidRDefault="000600CA">
            <w:pPr>
              <w:spacing w:after="0"/>
            </w:pPr>
            <w:r>
              <w:rPr>
                <w:sz w:val="16"/>
              </w:rPr>
              <w:t>Si la evaluación depende de una persona, se omite cuando hay presión por entregar.</w:t>
            </w:r>
          </w:p>
        </w:tc>
        <w:tc>
          <w:tcPr>
            <w:tcW w:w="2959" w:type="dxa"/>
          </w:tcPr>
          <w:p w14:paraId="038AC022" w14:textId="77777777" w:rsidR="00D644E9" w:rsidRDefault="000600CA">
            <w:pPr>
              <w:spacing w:after="0"/>
            </w:pPr>
            <w:hyperlink r:id="rId56">
              <w:r>
                <w:rPr>
                  <w:color w:val="0563C1"/>
                  <w:sz w:val="16"/>
                  <w:u w:val="single"/>
                </w:rPr>
                <w:t>CI/CD de hosted agents (azd)</w:t>
              </w:r>
            </w:hyperlink>
          </w:p>
          <w:p w14:paraId="7CF99C62" w14:textId="77777777" w:rsidR="00D644E9" w:rsidRDefault="000600CA">
            <w:pPr>
              <w:spacing w:after="0"/>
            </w:pPr>
            <w:hyperlink r:id="rId57">
              <w:r>
                <w:rPr>
                  <w:color w:val="0563C1"/>
                  <w:sz w:val="16"/>
                  <w:u w:val="single"/>
                </w:rPr>
                <w:t>Evaluación con GitHub Actions</w:t>
              </w:r>
            </w:hyperlink>
          </w:p>
          <w:p w14:paraId="0EF1591C" w14:textId="77777777" w:rsidR="00D644E9" w:rsidRDefault="000600CA">
            <w:pPr>
              <w:spacing w:after="0"/>
            </w:pPr>
            <w:hyperlink r:id="rId58">
              <w:r>
                <w:rPr>
                  <w:color w:val="0563C1"/>
                  <w:sz w:val="16"/>
                  <w:u w:val="single"/>
                </w:rPr>
                <w:t>Evaluación con Azure DevOps</w:t>
              </w:r>
            </w:hyperlink>
          </w:p>
        </w:tc>
        <w:tc>
          <w:tcPr>
            <w:tcW w:w="2732" w:type="dxa"/>
          </w:tcPr>
          <w:p w14:paraId="5BF4443D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foundry\agents\how-to\set-up-ci-cd-cli.md</w:t>
            </w:r>
          </w:p>
          <w:p w14:paraId="44EAB36C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foundry\how-to\evaluation-github-action.md</w:t>
            </w:r>
          </w:p>
          <w:p w14:paraId="7AF21936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foundry\how-to\evaluation-azure-devops.md</w:t>
            </w:r>
          </w:p>
        </w:tc>
      </w:tr>
      <w:tr w:rsidR="00D644E9" w14:paraId="5417EDAE" w14:textId="77777777">
        <w:trPr>
          <w:cantSplit/>
          <w:jc w:val="center"/>
        </w:trPr>
        <w:tc>
          <w:tcPr>
            <w:tcW w:w="626" w:type="dxa"/>
          </w:tcPr>
          <w:p w14:paraId="7E7CA973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0F7D9CB6" w14:textId="77777777" w:rsidR="00D644E9" w:rsidRDefault="000600CA">
            <w:pPr>
              <w:spacing w:after="0"/>
            </w:pPr>
            <w:r>
              <w:rPr>
                <w:sz w:val="16"/>
              </w:rPr>
              <w:t>F4</w:t>
            </w:r>
          </w:p>
        </w:tc>
        <w:tc>
          <w:tcPr>
            <w:tcW w:w="4553" w:type="dxa"/>
          </w:tcPr>
          <w:p w14:paraId="60F1B660" w14:textId="77777777" w:rsidR="00D644E9" w:rsidRDefault="000600CA">
            <w:pPr>
              <w:spacing w:after="0"/>
            </w:pPr>
            <w:r>
              <w:rPr>
                <w:sz w:val="16"/>
              </w:rPr>
              <w:t>Cada versión del agente es inmutable y trazable a su código, prompt y configuración; definiste el rollback y cómo harás el canary, porque una versión atiende todo el tráfico del endpoint (sin división de tráfico entre versiones).</w:t>
            </w:r>
          </w:p>
        </w:tc>
        <w:tc>
          <w:tcPr>
            <w:tcW w:w="3756" w:type="dxa"/>
          </w:tcPr>
          <w:p w14:paraId="33EE6CEC" w14:textId="77777777" w:rsidR="00D644E9" w:rsidRDefault="000600CA">
            <w:pPr>
              <w:spacing w:after="0"/>
            </w:pPr>
            <w:r>
              <w:rPr>
                <w:sz w:val="16"/>
              </w:rPr>
              <w:t>Sin versión previa conocida y probada, un incidente se resuelve improvisando.</w:t>
            </w:r>
          </w:p>
        </w:tc>
        <w:tc>
          <w:tcPr>
            <w:tcW w:w="2959" w:type="dxa"/>
          </w:tcPr>
          <w:p w14:paraId="5CD570BA" w14:textId="77777777" w:rsidR="00D644E9" w:rsidRDefault="000600CA">
            <w:pPr>
              <w:spacing w:after="0"/>
            </w:pPr>
            <w:hyperlink r:id="rId59">
              <w:r>
                <w:rPr>
                  <w:color w:val="0563C1"/>
                  <w:sz w:val="16"/>
                  <w:u w:val="single"/>
                </w:rPr>
                <w:t>Hosted agents</w:t>
              </w:r>
            </w:hyperlink>
          </w:p>
          <w:p w14:paraId="035264FE" w14:textId="77777777" w:rsidR="00D644E9" w:rsidRDefault="000600CA">
            <w:pPr>
              <w:spacing w:after="0"/>
            </w:pPr>
            <w:hyperlink r:id="rId60">
              <w:r>
                <w:rPr>
                  <w:color w:val="0563C1"/>
                  <w:sz w:val="16"/>
                  <w:u w:val="single"/>
                </w:rPr>
                <w:t>Administrar un hosted agent</w:t>
              </w:r>
            </w:hyperlink>
          </w:p>
        </w:tc>
        <w:tc>
          <w:tcPr>
            <w:tcW w:w="2732" w:type="dxa"/>
          </w:tcPr>
          <w:p w14:paraId="0AF91A73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foundry\agents\concepts\hosted-agents.md</w:t>
            </w:r>
          </w:p>
          <w:p w14:paraId="11786DC6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foundry\agents\how-to\manage-hosted-agent.md</w:t>
            </w:r>
          </w:p>
        </w:tc>
      </w:tr>
    </w:tbl>
    <w:p w14:paraId="350615F9" w14:textId="77777777" w:rsidR="00D644E9" w:rsidRDefault="00D644E9">
      <w:pPr>
        <w:spacing w:after="40"/>
      </w:pPr>
    </w:p>
    <w:p w14:paraId="4585C6E0" w14:textId="77777777" w:rsidR="00D644E9" w:rsidRDefault="000600CA">
      <w:pPr>
        <w:pStyle w:val="Heading2"/>
      </w:pPr>
      <w:r>
        <w:t>G. Observabilidad y SLOs</w:t>
      </w:r>
    </w:p>
    <w:tbl>
      <w:tblPr>
        <w:tblStyle w:val="TableGrid"/>
        <w:tblW w:w="0" w:type="auto"/>
        <w:jc w:val="center"/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626"/>
        <w:gridCol w:w="512"/>
        <w:gridCol w:w="4553"/>
        <w:gridCol w:w="3756"/>
        <w:gridCol w:w="2959"/>
        <w:gridCol w:w="2732"/>
      </w:tblGrid>
      <w:tr w:rsidR="00D644E9" w14:paraId="6055C461" w14:textId="77777777">
        <w:trPr>
          <w:tblHeader/>
          <w:jc w:val="center"/>
        </w:trPr>
        <w:tc>
          <w:tcPr>
            <w:tcW w:w="626" w:type="dxa"/>
            <w:shd w:val="clear" w:color="auto" w:fill="0078D4"/>
          </w:tcPr>
          <w:p w14:paraId="382B5BEA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Hecho</w:t>
            </w:r>
          </w:p>
        </w:tc>
        <w:tc>
          <w:tcPr>
            <w:tcW w:w="512" w:type="dxa"/>
            <w:shd w:val="clear" w:color="auto" w:fill="0078D4"/>
          </w:tcPr>
          <w:p w14:paraId="7271DFFE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4553" w:type="dxa"/>
            <w:shd w:val="clear" w:color="auto" w:fill="0078D4"/>
          </w:tcPr>
          <w:p w14:paraId="15AB1820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Ítem a verificar</w:t>
            </w:r>
          </w:p>
        </w:tc>
        <w:tc>
          <w:tcPr>
            <w:tcW w:w="3756" w:type="dxa"/>
            <w:shd w:val="clear" w:color="auto" w:fill="0078D4"/>
          </w:tcPr>
          <w:p w14:paraId="5FC9390C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Por qué importa</w:t>
            </w:r>
          </w:p>
        </w:tc>
        <w:tc>
          <w:tcPr>
            <w:tcW w:w="2959" w:type="dxa"/>
            <w:shd w:val="clear" w:color="auto" w:fill="0078D4"/>
          </w:tcPr>
          <w:p w14:paraId="459E6EC1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Referencia oficial (Learn)</w:t>
            </w:r>
          </w:p>
        </w:tc>
        <w:tc>
          <w:tcPr>
            <w:tcW w:w="2732" w:type="dxa"/>
            <w:shd w:val="clear" w:color="auto" w:fill="0078D4"/>
          </w:tcPr>
          <w:p w14:paraId="6A0BC371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Ruta offline (`docs-oficiales\`)</w:t>
            </w:r>
          </w:p>
        </w:tc>
      </w:tr>
      <w:tr w:rsidR="00D644E9" w14:paraId="53CAC2AE" w14:textId="77777777">
        <w:trPr>
          <w:cantSplit/>
          <w:jc w:val="center"/>
        </w:trPr>
        <w:tc>
          <w:tcPr>
            <w:tcW w:w="626" w:type="dxa"/>
          </w:tcPr>
          <w:p w14:paraId="555BA084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3729DBA5" w14:textId="77777777" w:rsidR="00D644E9" w:rsidRDefault="000600CA">
            <w:pPr>
              <w:spacing w:after="0"/>
            </w:pPr>
            <w:r>
              <w:rPr>
                <w:sz w:val="16"/>
              </w:rPr>
              <w:t>G1</w:t>
            </w:r>
          </w:p>
        </w:tc>
        <w:tc>
          <w:tcPr>
            <w:tcW w:w="4553" w:type="dxa"/>
          </w:tcPr>
          <w:p w14:paraId="5BDC0DCD" w14:textId="77777777" w:rsidR="00D644E9" w:rsidRDefault="000600CA">
            <w:pPr>
              <w:spacing w:after="0"/>
            </w:pPr>
            <w:r>
              <w:rPr>
                <w:sz w:val="16"/>
              </w:rPr>
              <w:t>Los agentes emiten trazas OpenTelemetry a Application Insights y puedes correlacionar una solicitud con su sesión, usuario seudonimizado, tools y versión de agente.</w:t>
            </w:r>
          </w:p>
        </w:tc>
        <w:tc>
          <w:tcPr>
            <w:tcW w:w="3756" w:type="dxa"/>
          </w:tcPr>
          <w:p w14:paraId="240A488B" w14:textId="77777777" w:rsidR="00D644E9" w:rsidRDefault="000600CA">
            <w:pPr>
              <w:spacing w:after="0"/>
            </w:pPr>
            <w:r>
              <w:rPr>
                <w:sz w:val="16"/>
              </w:rPr>
              <w:t>Sin trazas de extremo a extremo no puedes explicar una respuesta ante auditoría ni encontrar la causa de una degradación.</w:t>
            </w:r>
          </w:p>
        </w:tc>
        <w:tc>
          <w:tcPr>
            <w:tcW w:w="2959" w:type="dxa"/>
          </w:tcPr>
          <w:p w14:paraId="398DB285" w14:textId="77777777" w:rsidR="00D644E9" w:rsidRDefault="000600CA">
            <w:pPr>
              <w:spacing w:after="0"/>
            </w:pPr>
            <w:hyperlink r:id="rId61">
              <w:r>
                <w:rPr>
                  <w:color w:val="0563C1"/>
                  <w:sz w:val="16"/>
                  <w:u w:val="single"/>
                </w:rPr>
                <w:t>Trazas de agentes</w:t>
              </w:r>
            </w:hyperlink>
          </w:p>
          <w:p w14:paraId="0C0670BC" w14:textId="77777777" w:rsidR="00D644E9" w:rsidRDefault="000600CA">
            <w:pPr>
              <w:spacing w:after="0"/>
            </w:pPr>
            <w:hyperlink r:id="rId62">
              <w:r>
                <w:rPr>
                  <w:color w:val="0563C1"/>
                  <w:sz w:val="16"/>
                  <w:u w:val="single"/>
                </w:rPr>
                <w:t>Hosted agents</w:t>
              </w:r>
            </w:hyperlink>
          </w:p>
        </w:tc>
        <w:tc>
          <w:tcPr>
            <w:tcW w:w="2732" w:type="dxa"/>
          </w:tcPr>
          <w:p w14:paraId="6E1F9CA8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foundry\observability\concepts\trace-agent-concept.md</w:t>
            </w:r>
          </w:p>
          <w:p w14:paraId="4DC9DA5B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foundry\agents\concepts\hosted-agents.md</w:t>
            </w:r>
          </w:p>
        </w:tc>
      </w:tr>
      <w:tr w:rsidR="00D644E9" w14:paraId="76B3D3F8" w14:textId="77777777">
        <w:trPr>
          <w:cantSplit/>
          <w:jc w:val="center"/>
        </w:trPr>
        <w:tc>
          <w:tcPr>
            <w:tcW w:w="626" w:type="dxa"/>
          </w:tcPr>
          <w:p w14:paraId="249B5D16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774EE097" w14:textId="77777777" w:rsidR="00D644E9" w:rsidRDefault="000600CA">
            <w:pPr>
              <w:spacing w:after="0"/>
            </w:pPr>
            <w:r>
              <w:rPr>
                <w:sz w:val="16"/>
              </w:rPr>
              <w:t>G2</w:t>
            </w:r>
          </w:p>
        </w:tc>
        <w:tc>
          <w:tcPr>
            <w:tcW w:w="4553" w:type="dxa"/>
          </w:tcPr>
          <w:p w14:paraId="280B0BA0" w14:textId="77777777" w:rsidR="00D644E9" w:rsidRDefault="000600CA">
            <w:pPr>
              <w:spacing w:after="0"/>
            </w:pPr>
            <w:r>
              <w:rPr>
                <w:sz w:val="16"/>
              </w:rPr>
              <w:t>El contenido sensible de las trazas (prompts, respuestas) va a la tabla dedicada con acceso restringido (rol Privileged Monitoring Data Reader) y confirmaste las fechas de migración de la doc oficial.</w:t>
            </w:r>
          </w:p>
        </w:tc>
        <w:tc>
          <w:tcPr>
            <w:tcW w:w="3756" w:type="dxa"/>
          </w:tcPr>
          <w:p w14:paraId="4AC9BBE3" w14:textId="77777777" w:rsidR="00D644E9" w:rsidRDefault="000600CA">
            <w:pPr>
              <w:spacing w:after="0"/>
            </w:pPr>
            <w:r>
              <w:rPr>
                <w:sz w:val="16"/>
              </w:rPr>
              <w:t>Las trazas contienen datos de clientes; si cualquiera con acceso al workspace los ve, el monitoreo se convierte en una fuga.</w:t>
            </w:r>
          </w:p>
        </w:tc>
        <w:tc>
          <w:tcPr>
            <w:tcW w:w="2959" w:type="dxa"/>
          </w:tcPr>
          <w:p w14:paraId="3839C73C" w14:textId="77777777" w:rsidR="00D644E9" w:rsidRDefault="000600CA">
            <w:pPr>
              <w:spacing w:after="0"/>
            </w:pPr>
            <w:hyperlink r:id="rId63">
              <w:r>
                <w:rPr>
                  <w:color w:val="0563C1"/>
                  <w:sz w:val="16"/>
                  <w:u w:val="single"/>
                </w:rPr>
                <w:t>Contenido sensible en trazas</w:t>
              </w:r>
            </w:hyperlink>
          </w:p>
        </w:tc>
        <w:tc>
          <w:tcPr>
            <w:tcW w:w="2732" w:type="dxa"/>
          </w:tcPr>
          <w:p w14:paraId="1B9D257C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foundry\observability\how-to\traces-sensitive-content.md</w:t>
            </w:r>
          </w:p>
        </w:tc>
      </w:tr>
      <w:tr w:rsidR="00D644E9" w14:paraId="08CF2C36" w14:textId="77777777">
        <w:trPr>
          <w:cantSplit/>
          <w:jc w:val="center"/>
        </w:trPr>
        <w:tc>
          <w:tcPr>
            <w:tcW w:w="626" w:type="dxa"/>
          </w:tcPr>
          <w:p w14:paraId="6BD7CDB2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50FB2890" w14:textId="77777777" w:rsidR="00D644E9" w:rsidRDefault="000600CA">
            <w:pPr>
              <w:spacing w:after="0"/>
            </w:pPr>
            <w:r>
              <w:rPr>
                <w:sz w:val="16"/>
              </w:rPr>
              <w:t>G3</w:t>
            </w:r>
          </w:p>
        </w:tc>
        <w:tc>
          <w:tcPr>
            <w:tcW w:w="4553" w:type="dxa"/>
          </w:tcPr>
          <w:p w14:paraId="4E5002BD" w14:textId="77777777" w:rsidR="00D644E9" w:rsidRDefault="000600CA">
            <w:pPr>
              <w:spacing w:after="0"/>
            </w:pPr>
            <w:r>
              <w:rPr>
                <w:sz w:val="16"/>
              </w:rPr>
              <w:t>Definiste SLOs por dimensión (disponibilidad, latencia, calidad, seguridad, costo) con dueño y alertas; el panel de monitoreo y las alertas son (preview), así que mantienes un plan alterno con Azure Monitor.</w:t>
            </w:r>
          </w:p>
        </w:tc>
        <w:tc>
          <w:tcPr>
            <w:tcW w:w="3756" w:type="dxa"/>
          </w:tcPr>
          <w:p w14:paraId="6E85F21C" w14:textId="77777777" w:rsidR="00D644E9" w:rsidRDefault="000600CA">
            <w:pPr>
              <w:spacing w:after="0"/>
            </w:pPr>
            <w:r>
              <w:rPr>
                <w:sz w:val="16"/>
              </w:rPr>
              <w:t>Una métrica sin dueño ni alerta no cambia decisiones; una dependencia de una función preview para alertar es un riesgo operativo.</w:t>
            </w:r>
          </w:p>
        </w:tc>
        <w:tc>
          <w:tcPr>
            <w:tcW w:w="2959" w:type="dxa"/>
          </w:tcPr>
          <w:p w14:paraId="23A61A21" w14:textId="77777777" w:rsidR="00D644E9" w:rsidRDefault="000600CA">
            <w:pPr>
              <w:spacing w:after="0"/>
            </w:pPr>
            <w:hyperlink r:id="rId64">
              <w:r>
                <w:rPr>
                  <w:color w:val="0563C1"/>
                  <w:sz w:val="16"/>
                  <w:u w:val="single"/>
                </w:rPr>
                <w:t>Panel de monitoreo (preview)</w:t>
              </w:r>
            </w:hyperlink>
          </w:p>
          <w:p w14:paraId="36452481" w14:textId="77777777" w:rsidR="00D644E9" w:rsidRDefault="000600CA">
            <w:pPr>
              <w:spacing w:after="0"/>
            </w:pPr>
            <w:hyperlink r:id="rId65">
              <w:r>
                <w:rPr>
                  <w:color w:val="0563C1"/>
                  <w:sz w:val="16"/>
                  <w:u w:val="single"/>
                </w:rPr>
                <w:t>Disponibilidad general vs preview</w:t>
              </w:r>
            </w:hyperlink>
          </w:p>
        </w:tc>
        <w:tc>
          <w:tcPr>
            <w:tcW w:w="2732" w:type="dxa"/>
          </w:tcPr>
          <w:p w14:paraId="15962B67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foundry\observability\how-to\how-to-monitor-agents-dashboard.md</w:t>
            </w:r>
          </w:p>
          <w:p w14:paraId="3D0BCD49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foundry\concepts\general-availability.md</w:t>
            </w:r>
          </w:p>
        </w:tc>
      </w:tr>
      <w:tr w:rsidR="00D644E9" w14:paraId="1A89C3CB" w14:textId="77777777">
        <w:trPr>
          <w:cantSplit/>
          <w:jc w:val="center"/>
        </w:trPr>
        <w:tc>
          <w:tcPr>
            <w:tcW w:w="626" w:type="dxa"/>
          </w:tcPr>
          <w:p w14:paraId="0EDFBA0F" w14:textId="77777777" w:rsidR="00D644E9" w:rsidRDefault="000600CA">
            <w:pPr>
              <w:spacing w:after="0"/>
            </w:pPr>
            <w:r>
              <w:rPr>
                <w:sz w:val="16"/>
              </w:rPr>
              <w:lastRenderedPageBreak/>
              <w:t>☐</w:t>
            </w:r>
          </w:p>
        </w:tc>
        <w:tc>
          <w:tcPr>
            <w:tcW w:w="512" w:type="dxa"/>
          </w:tcPr>
          <w:p w14:paraId="37F18BE5" w14:textId="77777777" w:rsidR="00D644E9" w:rsidRDefault="000600CA">
            <w:pPr>
              <w:spacing w:after="0"/>
            </w:pPr>
            <w:r>
              <w:rPr>
                <w:sz w:val="16"/>
              </w:rPr>
              <w:t>G4</w:t>
            </w:r>
          </w:p>
        </w:tc>
        <w:tc>
          <w:tcPr>
            <w:tcW w:w="4553" w:type="dxa"/>
          </w:tcPr>
          <w:p w14:paraId="48909DBE" w14:textId="77777777" w:rsidR="00D644E9" w:rsidRDefault="000600CA">
            <w:pPr>
              <w:spacing w:after="0"/>
            </w:pPr>
            <w:r>
              <w:rPr>
                <w:sz w:val="16"/>
              </w:rPr>
              <w:t>Hay evaluación continua sobre una muestra del tráfico y escaneos de red teaming programados, con resultados que alimentan el backlog.</w:t>
            </w:r>
          </w:p>
        </w:tc>
        <w:tc>
          <w:tcPr>
            <w:tcW w:w="3756" w:type="dxa"/>
          </w:tcPr>
          <w:p w14:paraId="6F005BC9" w14:textId="77777777" w:rsidR="00D644E9" w:rsidRDefault="000600CA">
            <w:pPr>
              <w:spacing w:after="0"/>
            </w:pPr>
            <w:r>
              <w:rPr>
                <w:sz w:val="16"/>
              </w:rPr>
              <w:t>La calidad y la seguridad derivan con el tiempo (datos, modelos, usuarios); lo que pasó el gate hoy puede fallar en tres meses.</w:t>
            </w:r>
          </w:p>
        </w:tc>
        <w:tc>
          <w:tcPr>
            <w:tcW w:w="2959" w:type="dxa"/>
          </w:tcPr>
          <w:p w14:paraId="7BCE1F15" w14:textId="77777777" w:rsidR="00D644E9" w:rsidRDefault="000600CA">
            <w:pPr>
              <w:spacing w:after="0"/>
            </w:pPr>
            <w:hyperlink r:id="rId66">
              <w:r>
                <w:rPr>
                  <w:color w:val="0563C1"/>
                  <w:sz w:val="16"/>
                  <w:u w:val="single"/>
                </w:rPr>
                <w:t>Panel de monitoreo (preview)</w:t>
              </w:r>
            </w:hyperlink>
          </w:p>
          <w:p w14:paraId="2D8B6C94" w14:textId="77777777" w:rsidR="00D644E9" w:rsidRDefault="000600CA">
            <w:pPr>
              <w:spacing w:after="0"/>
            </w:pPr>
            <w:hyperlink r:id="rId67">
              <w:r>
                <w:rPr>
                  <w:color w:val="0563C1"/>
                  <w:sz w:val="16"/>
                  <w:u w:val="single"/>
                </w:rPr>
                <w:t>AI Red Teaming Agent</w:t>
              </w:r>
            </w:hyperlink>
          </w:p>
        </w:tc>
        <w:tc>
          <w:tcPr>
            <w:tcW w:w="2732" w:type="dxa"/>
          </w:tcPr>
          <w:p w14:paraId="58D13EA8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foundry\observability\how-to\how-to-monitor-agents-dashboard.md</w:t>
            </w:r>
          </w:p>
          <w:p w14:paraId="6E5DAB83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foundry\concepts\ai-red-teaming-agent.md</w:t>
            </w:r>
          </w:p>
        </w:tc>
      </w:tr>
    </w:tbl>
    <w:p w14:paraId="3228F852" w14:textId="77777777" w:rsidR="00D644E9" w:rsidRDefault="00D644E9">
      <w:pPr>
        <w:spacing w:after="40"/>
      </w:pPr>
    </w:p>
    <w:p w14:paraId="68CB36C1" w14:textId="77777777" w:rsidR="00D644E9" w:rsidRDefault="000600CA">
      <w:pPr>
        <w:pStyle w:val="Heading2"/>
      </w:pPr>
      <w:r>
        <w:t>H. Costos y FinOps</w:t>
      </w:r>
    </w:p>
    <w:tbl>
      <w:tblPr>
        <w:tblStyle w:val="TableGrid"/>
        <w:tblW w:w="0" w:type="auto"/>
        <w:jc w:val="center"/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626"/>
        <w:gridCol w:w="512"/>
        <w:gridCol w:w="4553"/>
        <w:gridCol w:w="3756"/>
        <w:gridCol w:w="2959"/>
        <w:gridCol w:w="2732"/>
      </w:tblGrid>
      <w:tr w:rsidR="00D644E9" w14:paraId="3487D89D" w14:textId="77777777">
        <w:trPr>
          <w:tblHeader/>
          <w:jc w:val="center"/>
        </w:trPr>
        <w:tc>
          <w:tcPr>
            <w:tcW w:w="626" w:type="dxa"/>
            <w:shd w:val="clear" w:color="auto" w:fill="0078D4"/>
          </w:tcPr>
          <w:p w14:paraId="57008991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Hecho</w:t>
            </w:r>
          </w:p>
        </w:tc>
        <w:tc>
          <w:tcPr>
            <w:tcW w:w="512" w:type="dxa"/>
            <w:shd w:val="clear" w:color="auto" w:fill="0078D4"/>
          </w:tcPr>
          <w:p w14:paraId="4AAA5864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4553" w:type="dxa"/>
            <w:shd w:val="clear" w:color="auto" w:fill="0078D4"/>
          </w:tcPr>
          <w:p w14:paraId="040DD092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Ítem a verificar</w:t>
            </w:r>
          </w:p>
        </w:tc>
        <w:tc>
          <w:tcPr>
            <w:tcW w:w="3756" w:type="dxa"/>
            <w:shd w:val="clear" w:color="auto" w:fill="0078D4"/>
          </w:tcPr>
          <w:p w14:paraId="21071528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Por qué importa</w:t>
            </w:r>
          </w:p>
        </w:tc>
        <w:tc>
          <w:tcPr>
            <w:tcW w:w="2959" w:type="dxa"/>
            <w:shd w:val="clear" w:color="auto" w:fill="0078D4"/>
          </w:tcPr>
          <w:p w14:paraId="27C36823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Referencia oficial (Learn)</w:t>
            </w:r>
          </w:p>
        </w:tc>
        <w:tc>
          <w:tcPr>
            <w:tcW w:w="2732" w:type="dxa"/>
            <w:shd w:val="clear" w:color="auto" w:fill="0078D4"/>
          </w:tcPr>
          <w:p w14:paraId="0E7EE0EF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Ruta offline (`docs-oficiales\`)</w:t>
            </w:r>
          </w:p>
        </w:tc>
      </w:tr>
      <w:tr w:rsidR="00D644E9" w14:paraId="5824EC1C" w14:textId="77777777">
        <w:trPr>
          <w:cantSplit/>
          <w:jc w:val="center"/>
        </w:trPr>
        <w:tc>
          <w:tcPr>
            <w:tcW w:w="626" w:type="dxa"/>
          </w:tcPr>
          <w:p w14:paraId="5A8DC3D1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0B9E1F64" w14:textId="77777777" w:rsidR="00D644E9" w:rsidRDefault="000600CA">
            <w:pPr>
              <w:spacing w:after="0"/>
            </w:pPr>
            <w:r>
              <w:rPr>
                <w:sz w:val="16"/>
              </w:rPr>
              <w:t>H1</w:t>
            </w:r>
          </w:p>
        </w:tc>
        <w:tc>
          <w:tcPr>
            <w:tcW w:w="4553" w:type="dxa"/>
          </w:tcPr>
          <w:p w14:paraId="4C26F979" w14:textId="77777777" w:rsidR="00D644E9" w:rsidRDefault="000600CA">
            <w:pPr>
              <w:spacing w:after="0"/>
            </w:pPr>
            <w:r>
              <w:rPr>
                <w:sz w:val="16"/>
              </w:rPr>
              <w:t>Configuraste límites de tokens por minuto y cuotas por proyecto o consumidor (Control Plane/AI Gateway, preview) y alertas de consumo anómalo.</w:t>
            </w:r>
          </w:p>
        </w:tc>
        <w:tc>
          <w:tcPr>
            <w:tcW w:w="3756" w:type="dxa"/>
          </w:tcPr>
          <w:p w14:paraId="0E3D6F00" w14:textId="77777777" w:rsidR="00D644E9" w:rsidRDefault="000600CA">
            <w:pPr>
              <w:spacing w:after="0"/>
            </w:pPr>
            <w:r>
              <w:rPr>
                <w:sz w:val="16"/>
              </w:rPr>
              <w:t>Un bucle de agente o un abuso puede agotar la cuota del modelo y afectar a todos los consumidores compartidos.</w:t>
            </w:r>
          </w:p>
        </w:tc>
        <w:tc>
          <w:tcPr>
            <w:tcW w:w="2959" w:type="dxa"/>
          </w:tcPr>
          <w:p w14:paraId="65D816E2" w14:textId="77777777" w:rsidR="00D644E9" w:rsidRDefault="000600CA">
            <w:pPr>
              <w:spacing w:after="0"/>
            </w:pPr>
            <w:hyperlink r:id="rId68">
              <w:r>
                <w:rPr>
                  <w:color w:val="0563C1"/>
                  <w:sz w:val="16"/>
                  <w:u w:val="single"/>
                </w:rPr>
                <w:t>Límites de tokens (Control Plane)</w:t>
              </w:r>
            </w:hyperlink>
          </w:p>
          <w:p w14:paraId="2DF2CBAC" w14:textId="77777777" w:rsidR="00D644E9" w:rsidRDefault="000600CA">
            <w:pPr>
              <w:spacing w:after="0"/>
            </w:pPr>
            <w:hyperlink r:id="rId69">
              <w:r>
                <w:rPr>
                  <w:color w:val="0563C1"/>
                  <w:sz w:val="16"/>
                  <w:u w:val="single"/>
                </w:rPr>
                <w:t>Gateway de IA generativa</w:t>
              </w:r>
            </w:hyperlink>
          </w:p>
        </w:tc>
        <w:tc>
          <w:tcPr>
            <w:tcW w:w="2732" w:type="dxa"/>
          </w:tcPr>
          <w:p w14:paraId="567C4AB8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foundry\control-plane\how-to-enforce-limits-models.md</w:t>
            </w:r>
          </w:p>
          <w:p w14:paraId="794B4863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architecture-center-ai\ai-ml\guide\generative-ai-gateway.md</w:t>
            </w:r>
          </w:p>
        </w:tc>
      </w:tr>
      <w:tr w:rsidR="00D644E9" w14:paraId="3CFF44B2" w14:textId="77777777">
        <w:trPr>
          <w:cantSplit/>
          <w:jc w:val="center"/>
        </w:trPr>
        <w:tc>
          <w:tcPr>
            <w:tcW w:w="626" w:type="dxa"/>
          </w:tcPr>
          <w:p w14:paraId="1B82C89D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0356EBBB" w14:textId="77777777" w:rsidR="00D644E9" w:rsidRDefault="000600CA">
            <w:pPr>
              <w:spacing w:after="0"/>
            </w:pPr>
            <w:r>
              <w:rPr>
                <w:sz w:val="16"/>
              </w:rPr>
              <w:t>H2</w:t>
            </w:r>
          </w:p>
        </w:tc>
        <w:tc>
          <w:tcPr>
            <w:tcW w:w="4553" w:type="dxa"/>
          </w:tcPr>
          <w:p w14:paraId="389E1D5B" w14:textId="77777777" w:rsidR="00D644E9" w:rsidRDefault="000600CA">
            <w:pPr>
              <w:spacing w:after="0"/>
            </w:pPr>
            <w:r>
              <w:rPr>
                <w:sz w:val="16"/>
              </w:rPr>
              <w:t>Dimensionaste CPU/memoria del sandbox y el idle timeout con carga representativa y revisas la utilización en Application Insights (si los picos sostenidos superan ~70 %, sube la asignación en la próxima versión).</w:t>
            </w:r>
          </w:p>
        </w:tc>
        <w:tc>
          <w:tcPr>
            <w:tcW w:w="3756" w:type="dxa"/>
          </w:tcPr>
          <w:p w14:paraId="24D8FD48" w14:textId="77777777" w:rsidR="00D644E9" w:rsidRDefault="000600CA">
            <w:pPr>
              <w:spacing w:after="0"/>
            </w:pPr>
            <w:r>
              <w:rPr>
                <w:sz w:val="16"/>
              </w:rPr>
              <w:t>Sobredimensionar cuesta cada hora; subdimensionar aumenta latencia y errores justo en los picos.</w:t>
            </w:r>
          </w:p>
        </w:tc>
        <w:tc>
          <w:tcPr>
            <w:tcW w:w="2959" w:type="dxa"/>
          </w:tcPr>
          <w:p w14:paraId="3379891A" w14:textId="77777777" w:rsidR="00D644E9" w:rsidRDefault="000600CA">
            <w:pPr>
              <w:spacing w:after="0"/>
            </w:pPr>
            <w:hyperlink r:id="rId70">
              <w:r>
                <w:rPr>
                  <w:color w:val="0563C1"/>
                  <w:sz w:val="16"/>
                  <w:u w:val="single"/>
                </w:rPr>
                <w:t>Hosted agents</w:t>
              </w:r>
            </w:hyperlink>
          </w:p>
          <w:p w14:paraId="588D6B08" w14:textId="77777777" w:rsidR="00D644E9" w:rsidRDefault="000600CA">
            <w:pPr>
              <w:spacing w:after="0"/>
            </w:pPr>
            <w:hyperlink r:id="rId71">
              <w:r>
                <w:rPr>
                  <w:color w:val="0563C1"/>
                  <w:sz w:val="16"/>
                  <w:u w:val="single"/>
                </w:rPr>
                <w:t>Gestión de costos</w:t>
              </w:r>
            </w:hyperlink>
          </w:p>
        </w:tc>
        <w:tc>
          <w:tcPr>
            <w:tcW w:w="2732" w:type="dxa"/>
          </w:tcPr>
          <w:p w14:paraId="445001C6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foundry\agents\concepts\hosted-agents.md</w:t>
            </w:r>
          </w:p>
          <w:p w14:paraId="4C60EA09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foundry\concepts\manage-costs.md</w:t>
            </w:r>
          </w:p>
        </w:tc>
      </w:tr>
      <w:tr w:rsidR="00D644E9" w14:paraId="7A0E063B" w14:textId="77777777">
        <w:trPr>
          <w:cantSplit/>
          <w:jc w:val="center"/>
        </w:trPr>
        <w:tc>
          <w:tcPr>
            <w:tcW w:w="626" w:type="dxa"/>
          </w:tcPr>
          <w:p w14:paraId="27FB29F2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6984F51D" w14:textId="77777777" w:rsidR="00D644E9" w:rsidRDefault="000600CA">
            <w:pPr>
              <w:spacing w:after="0"/>
            </w:pPr>
            <w:r>
              <w:rPr>
                <w:sz w:val="16"/>
              </w:rPr>
              <w:t>H3</w:t>
            </w:r>
          </w:p>
        </w:tc>
        <w:tc>
          <w:tcPr>
            <w:tcW w:w="4553" w:type="dxa"/>
          </w:tcPr>
          <w:p w14:paraId="2CBC4F53" w14:textId="77777777" w:rsidR="00D644E9" w:rsidRDefault="000600CA">
            <w:pPr>
              <w:spacing w:after="0"/>
            </w:pPr>
            <w:r>
              <w:rPr>
                <w:sz w:val="16"/>
              </w:rPr>
              <w:t>Usas caché (por ejemplo, semántica en el gateway) solo para consultas sin datos por usuario o por cliente, con claves y alcance definidos, y mides tasa de aciertos y riesgo de respuesta cruzada.</w:t>
            </w:r>
          </w:p>
        </w:tc>
        <w:tc>
          <w:tcPr>
            <w:tcW w:w="3756" w:type="dxa"/>
          </w:tcPr>
          <w:p w14:paraId="4F3BEB4F" w14:textId="77777777" w:rsidR="00D644E9" w:rsidRDefault="000600CA">
            <w:pPr>
              <w:spacing w:after="0"/>
            </w:pPr>
            <w:r>
              <w:rPr>
                <w:sz w:val="16"/>
              </w:rPr>
              <w:t>Una caché mal acotada puede servir la respuesta de un cliente a otro; es un control de costo que puede convertirse en incidente de confidencialidad.</w:t>
            </w:r>
          </w:p>
        </w:tc>
        <w:tc>
          <w:tcPr>
            <w:tcW w:w="2959" w:type="dxa"/>
          </w:tcPr>
          <w:p w14:paraId="48BF0C77" w14:textId="77777777" w:rsidR="00D644E9" w:rsidRDefault="000600CA">
            <w:pPr>
              <w:spacing w:after="0"/>
            </w:pPr>
            <w:hyperlink r:id="rId72">
              <w:r>
                <w:rPr>
                  <w:color w:val="0563C1"/>
                  <w:sz w:val="16"/>
                  <w:u w:val="single"/>
                </w:rPr>
                <w:t>Gateway de IA generativa</w:t>
              </w:r>
            </w:hyperlink>
          </w:p>
          <w:p w14:paraId="644E181B" w14:textId="77777777" w:rsidR="00D644E9" w:rsidRDefault="000600CA">
            <w:pPr>
              <w:spacing w:after="0"/>
            </w:pPr>
            <w:hyperlink r:id="rId73">
              <w:r>
                <w:rPr>
                  <w:color w:val="0563C1"/>
                  <w:sz w:val="16"/>
                  <w:u w:val="single"/>
                </w:rPr>
                <w:t>AI-Gateway: lab semantic-caching</w:t>
              </w:r>
            </w:hyperlink>
          </w:p>
        </w:tc>
        <w:tc>
          <w:tcPr>
            <w:tcW w:w="2732" w:type="dxa"/>
          </w:tcPr>
          <w:p w14:paraId="22FFACB6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architecture-center-ai\ai-ml\guide\generative-ai-gateway.md</w:t>
            </w:r>
          </w:p>
          <w:p w14:paraId="459180FB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repos\publico-samples\AI-Gateway\labs\semantic-caching</w:t>
            </w:r>
          </w:p>
        </w:tc>
      </w:tr>
      <w:tr w:rsidR="00D644E9" w14:paraId="71FEBDED" w14:textId="77777777">
        <w:trPr>
          <w:cantSplit/>
          <w:jc w:val="center"/>
        </w:trPr>
        <w:tc>
          <w:tcPr>
            <w:tcW w:w="626" w:type="dxa"/>
          </w:tcPr>
          <w:p w14:paraId="0711F89A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577AE677" w14:textId="77777777" w:rsidR="00D644E9" w:rsidRDefault="000600CA">
            <w:pPr>
              <w:spacing w:after="0"/>
            </w:pPr>
            <w:r>
              <w:rPr>
                <w:sz w:val="16"/>
              </w:rPr>
              <w:t>H4</w:t>
            </w:r>
          </w:p>
        </w:tc>
        <w:tc>
          <w:tcPr>
            <w:tcW w:w="4553" w:type="dxa"/>
          </w:tcPr>
          <w:p w14:paraId="20E837C0" w14:textId="77777777" w:rsidR="00D644E9" w:rsidRDefault="000600CA">
            <w:pPr>
              <w:spacing w:after="0"/>
            </w:pPr>
            <w:r>
              <w:rPr>
                <w:sz w:val="16"/>
              </w:rPr>
              <w:t>Tienes presupuestos, alertas y atribución de costos por proyecto o unidad de negocio (la atribución por proyecto es preview) y sabes qué consumos quedan fuera de las estimaciones del panel.</w:t>
            </w:r>
          </w:p>
        </w:tc>
        <w:tc>
          <w:tcPr>
            <w:tcW w:w="3756" w:type="dxa"/>
          </w:tcPr>
          <w:p w14:paraId="07AF9666" w14:textId="77777777" w:rsidR="00D644E9" w:rsidRDefault="000600CA">
            <w:pPr>
              <w:spacing w:after="0"/>
            </w:pPr>
            <w:r>
              <w:rPr>
                <w:sz w:val="16"/>
              </w:rPr>
              <w:t>Sin atribución no hay conversación de valor ni de ahorro; sin presupuesto, el costo aparece a fin de mes.</w:t>
            </w:r>
          </w:p>
        </w:tc>
        <w:tc>
          <w:tcPr>
            <w:tcW w:w="2959" w:type="dxa"/>
          </w:tcPr>
          <w:p w14:paraId="76296BC4" w14:textId="77777777" w:rsidR="00D644E9" w:rsidRDefault="000600CA">
            <w:pPr>
              <w:spacing w:after="0"/>
            </w:pPr>
            <w:hyperlink r:id="rId74">
              <w:r>
                <w:rPr>
                  <w:color w:val="0563C1"/>
                  <w:sz w:val="16"/>
                  <w:u w:val="single"/>
                </w:rPr>
                <w:t>Gestión de costos</w:t>
              </w:r>
            </w:hyperlink>
          </w:p>
          <w:p w14:paraId="2E183E8F" w14:textId="77777777" w:rsidR="00D644E9" w:rsidRDefault="000600CA">
            <w:pPr>
              <w:spacing w:after="0"/>
            </w:pPr>
            <w:hyperlink r:id="rId75">
              <w:r>
                <w:rPr>
                  <w:color w:val="0563C1"/>
                  <w:sz w:val="16"/>
                  <w:u w:val="single"/>
                </w:rPr>
                <w:t>Límites de tokens (Control Plane)</w:t>
              </w:r>
            </w:hyperlink>
          </w:p>
        </w:tc>
        <w:tc>
          <w:tcPr>
            <w:tcW w:w="2732" w:type="dxa"/>
          </w:tcPr>
          <w:p w14:paraId="7324AD44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foundry\concepts\manage-costs.md</w:t>
            </w:r>
          </w:p>
          <w:p w14:paraId="6118082E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foundry\control-plane\how-to-enforce-limits-models.md</w:t>
            </w:r>
          </w:p>
        </w:tc>
      </w:tr>
    </w:tbl>
    <w:p w14:paraId="54C9188B" w14:textId="77777777" w:rsidR="00D644E9" w:rsidRDefault="00D644E9">
      <w:pPr>
        <w:spacing w:after="40"/>
      </w:pPr>
    </w:p>
    <w:p w14:paraId="41BF789E" w14:textId="77777777" w:rsidR="00D644E9" w:rsidRDefault="000600CA">
      <w:pPr>
        <w:pStyle w:val="Heading2"/>
      </w:pPr>
      <w:r>
        <w:t>I. Gobierno y cumplimiento</w:t>
      </w:r>
    </w:p>
    <w:tbl>
      <w:tblPr>
        <w:tblStyle w:val="TableGrid"/>
        <w:tblW w:w="0" w:type="auto"/>
        <w:jc w:val="center"/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626"/>
        <w:gridCol w:w="512"/>
        <w:gridCol w:w="4553"/>
        <w:gridCol w:w="3756"/>
        <w:gridCol w:w="2959"/>
        <w:gridCol w:w="2732"/>
      </w:tblGrid>
      <w:tr w:rsidR="00D644E9" w14:paraId="4B28EDB3" w14:textId="77777777">
        <w:trPr>
          <w:tblHeader/>
          <w:jc w:val="center"/>
        </w:trPr>
        <w:tc>
          <w:tcPr>
            <w:tcW w:w="626" w:type="dxa"/>
            <w:shd w:val="clear" w:color="auto" w:fill="0078D4"/>
          </w:tcPr>
          <w:p w14:paraId="6983235B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Hecho</w:t>
            </w:r>
          </w:p>
        </w:tc>
        <w:tc>
          <w:tcPr>
            <w:tcW w:w="512" w:type="dxa"/>
            <w:shd w:val="clear" w:color="auto" w:fill="0078D4"/>
          </w:tcPr>
          <w:p w14:paraId="66F051B8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4553" w:type="dxa"/>
            <w:shd w:val="clear" w:color="auto" w:fill="0078D4"/>
          </w:tcPr>
          <w:p w14:paraId="2C7BDCC2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Ítem a verificar</w:t>
            </w:r>
          </w:p>
        </w:tc>
        <w:tc>
          <w:tcPr>
            <w:tcW w:w="3756" w:type="dxa"/>
            <w:shd w:val="clear" w:color="auto" w:fill="0078D4"/>
          </w:tcPr>
          <w:p w14:paraId="26D0BAF2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Por qué importa</w:t>
            </w:r>
          </w:p>
        </w:tc>
        <w:tc>
          <w:tcPr>
            <w:tcW w:w="2959" w:type="dxa"/>
            <w:shd w:val="clear" w:color="auto" w:fill="0078D4"/>
          </w:tcPr>
          <w:p w14:paraId="30A09FCB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Referencia oficial (Learn)</w:t>
            </w:r>
          </w:p>
        </w:tc>
        <w:tc>
          <w:tcPr>
            <w:tcW w:w="2732" w:type="dxa"/>
            <w:shd w:val="clear" w:color="auto" w:fill="0078D4"/>
          </w:tcPr>
          <w:p w14:paraId="1D1F0C56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Ruta offline (`docs-oficiales\`)</w:t>
            </w:r>
          </w:p>
        </w:tc>
      </w:tr>
      <w:tr w:rsidR="00D644E9" w14:paraId="34C514FA" w14:textId="77777777">
        <w:trPr>
          <w:cantSplit/>
          <w:jc w:val="center"/>
        </w:trPr>
        <w:tc>
          <w:tcPr>
            <w:tcW w:w="626" w:type="dxa"/>
          </w:tcPr>
          <w:p w14:paraId="7C33B72D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670740AB" w14:textId="77777777" w:rsidR="00D644E9" w:rsidRDefault="000600CA">
            <w:pPr>
              <w:spacing w:after="0"/>
            </w:pPr>
            <w:r>
              <w:rPr>
                <w:sz w:val="16"/>
              </w:rPr>
              <w:t>I1</w:t>
            </w:r>
          </w:p>
        </w:tc>
        <w:tc>
          <w:tcPr>
            <w:tcW w:w="4553" w:type="dxa"/>
          </w:tcPr>
          <w:p w14:paraId="1C48BBC3" w14:textId="77777777" w:rsidR="00D644E9" w:rsidRDefault="000600CA">
            <w:pPr>
              <w:spacing w:after="0"/>
            </w:pPr>
            <w:r>
              <w:rPr>
                <w:sz w:val="16"/>
              </w:rPr>
              <w:t>Existe un inventario de agentes, tools y modelos con dueño, propósito y clasificación de datos, y lo mantienes con Control Plane (vistas Overview/Assets/Compliance en preview) u otra fuente de verdad.</w:t>
            </w:r>
          </w:p>
        </w:tc>
        <w:tc>
          <w:tcPr>
            <w:tcW w:w="3756" w:type="dxa"/>
          </w:tcPr>
          <w:p w14:paraId="2D57E0F0" w14:textId="77777777" w:rsidR="00D644E9" w:rsidRDefault="000600CA">
            <w:pPr>
              <w:spacing w:after="0"/>
            </w:pPr>
            <w:r>
              <w:rPr>
                <w:sz w:val="16"/>
              </w:rPr>
              <w:t>No puedes gobernar ni auditar lo que no sabes que existe; el agente “de prueba” que nadie apagó es el clásico hallazgo.</w:t>
            </w:r>
          </w:p>
        </w:tc>
        <w:tc>
          <w:tcPr>
            <w:tcW w:w="2959" w:type="dxa"/>
          </w:tcPr>
          <w:p w14:paraId="1F5D1A67" w14:textId="77777777" w:rsidR="00D644E9" w:rsidRDefault="000600CA">
            <w:pPr>
              <w:spacing w:after="0"/>
            </w:pPr>
            <w:hyperlink r:id="rId76">
              <w:r>
                <w:rPr>
                  <w:color w:val="0563C1"/>
                  <w:sz w:val="16"/>
                  <w:u w:val="single"/>
                </w:rPr>
                <w:t>Control Plane: visión general</w:t>
              </w:r>
            </w:hyperlink>
          </w:p>
          <w:p w14:paraId="51CA9245" w14:textId="77777777" w:rsidR="00D644E9" w:rsidRDefault="000600CA">
            <w:pPr>
              <w:spacing w:after="0"/>
            </w:pPr>
            <w:hyperlink r:id="rId77">
              <w:r>
                <w:rPr>
                  <w:color w:val="0563C1"/>
                  <w:sz w:val="16"/>
                  <w:u w:val="single"/>
                </w:rPr>
                <w:t>Control Plane: cumplimiento y seguridad</w:t>
              </w:r>
            </w:hyperlink>
          </w:p>
        </w:tc>
        <w:tc>
          <w:tcPr>
            <w:tcW w:w="2732" w:type="dxa"/>
          </w:tcPr>
          <w:p w14:paraId="635A4B63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foundry\control-plane\overview.md</w:t>
            </w:r>
          </w:p>
          <w:p w14:paraId="1A0B0B81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foundry\control-plane\how-to-manage-compliance-security.md</w:t>
            </w:r>
          </w:p>
        </w:tc>
      </w:tr>
      <w:tr w:rsidR="00D644E9" w14:paraId="0C355ABA" w14:textId="77777777">
        <w:trPr>
          <w:cantSplit/>
          <w:jc w:val="center"/>
        </w:trPr>
        <w:tc>
          <w:tcPr>
            <w:tcW w:w="626" w:type="dxa"/>
          </w:tcPr>
          <w:p w14:paraId="07C28EBE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4DEAD348" w14:textId="77777777" w:rsidR="00D644E9" w:rsidRDefault="000600CA">
            <w:pPr>
              <w:spacing w:after="0"/>
            </w:pPr>
            <w:r>
              <w:rPr>
                <w:sz w:val="16"/>
              </w:rPr>
              <w:t>I2</w:t>
            </w:r>
          </w:p>
        </w:tc>
        <w:tc>
          <w:tcPr>
            <w:tcW w:w="4553" w:type="dxa"/>
          </w:tcPr>
          <w:p w14:paraId="44B85D34" w14:textId="77777777" w:rsidR="00D644E9" w:rsidRDefault="000600CA">
            <w:pPr>
              <w:spacing w:after="0"/>
            </w:pPr>
            <w:r>
              <w:rPr>
                <w:sz w:val="16"/>
              </w:rPr>
              <w:t>Hay una política explícita de uso de funciones preview (solo GA en producción, o excepción aprobada con plan de salida) y sabes cómo deshabilitarlas.</w:t>
            </w:r>
          </w:p>
        </w:tc>
        <w:tc>
          <w:tcPr>
            <w:tcW w:w="3756" w:type="dxa"/>
          </w:tcPr>
          <w:p w14:paraId="6FDC6AE1" w14:textId="77777777" w:rsidR="00D644E9" w:rsidRDefault="000600CA">
            <w:pPr>
              <w:spacing w:after="0"/>
            </w:pPr>
            <w:r>
              <w:rPr>
                <w:sz w:val="16"/>
              </w:rPr>
              <w:t>Las funciones preview no tienen SLA y pueden cambiar; en una entidad regulada requieren decisión formal de riesgo.</w:t>
            </w:r>
          </w:p>
        </w:tc>
        <w:tc>
          <w:tcPr>
            <w:tcW w:w="2959" w:type="dxa"/>
          </w:tcPr>
          <w:p w14:paraId="75FD3584" w14:textId="77777777" w:rsidR="00D644E9" w:rsidRDefault="000600CA">
            <w:pPr>
              <w:spacing w:after="0"/>
            </w:pPr>
            <w:hyperlink r:id="rId78">
              <w:r>
                <w:rPr>
                  <w:color w:val="0563C1"/>
                  <w:sz w:val="16"/>
                  <w:u w:val="single"/>
                </w:rPr>
                <w:t>Disponibilidad general vs preview</w:t>
              </w:r>
            </w:hyperlink>
          </w:p>
          <w:p w14:paraId="0DFB0BDB" w14:textId="77777777" w:rsidR="00D644E9" w:rsidRDefault="000600CA">
            <w:pPr>
              <w:spacing w:after="0"/>
            </w:pPr>
            <w:hyperlink r:id="rId79">
              <w:r>
                <w:rPr>
                  <w:color w:val="0563C1"/>
                  <w:sz w:val="16"/>
                  <w:u w:val="single"/>
                </w:rPr>
                <w:t>Deshabilitar funciones preview</w:t>
              </w:r>
            </w:hyperlink>
          </w:p>
        </w:tc>
        <w:tc>
          <w:tcPr>
            <w:tcW w:w="2732" w:type="dxa"/>
          </w:tcPr>
          <w:p w14:paraId="7302909F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foundry\concepts\general-availability.md</w:t>
            </w:r>
          </w:p>
          <w:p w14:paraId="44730937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foundry\how-to\disable-preview-features.md</w:t>
            </w:r>
          </w:p>
        </w:tc>
      </w:tr>
      <w:tr w:rsidR="00D644E9" w14:paraId="3ED9BA0F" w14:textId="77777777">
        <w:trPr>
          <w:cantSplit/>
          <w:jc w:val="center"/>
        </w:trPr>
        <w:tc>
          <w:tcPr>
            <w:tcW w:w="626" w:type="dxa"/>
          </w:tcPr>
          <w:p w14:paraId="75E63994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1C3BE2D2" w14:textId="77777777" w:rsidR="00D644E9" w:rsidRDefault="000600CA">
            <w:pPr>
              <w:spacing w:after="0"/>
            </w:pPr>
            <w:r>
              <w:rPr>
                <w:sz w:val="16"/>
              </w:rPr>
              <w:t>I3</w:t>
            </w:r>
          </w:p>
        </w:tc>
        <w:tc>
          <w:tcPr>
            <w:tcW w:w="4553" w:type="dxa"/>
          </w:tcPr>
          <w:p w14:paraId="40795619" w14:textId="77777777" w:rsidR="00D644E9" w:rsidRDefault="000600CA">
            <w:pPr>
              <w:spacing w:after="0"/>
            </w:pPr>
            <w:r>
              <w:rPr>
                <w:sz w:val="16"/>
              </w:rPr>
              <w:t>Documentaste residencia y flujo de datos: dónde se almacenan los datos del Agent Service (misma geografía del recurso), dónde se procesan según los endpoints de modelos y el hosting de tools, uso de claves administradas por el cliente y limitaciones de funciones preview.</w:t>
            </w:r>
          </w:p>
        </w:tc>
        <w:tc>
          <w:tcPr>
            <w:tcW w:w="3756" w:type="dxa"/>
          </w:tcPr>
          <w:p w14:paraId="09E8E5B0" w14:textId="77777777" w:rsidR="00D644E9" w:rsidRDefault="000600CA">
            <w:pPr>
              <w:spacing w:after="0"/>
            </w:pPr>
            <w:r>
              <w:rPr>
                <w:sz w:val="16"/>
              </w:rPr>
              <w:t>Residencia, soberanía y terceros (modelos de otros proveedores, tools externas) son las primeras preguntas de riesgo y cumplimiento.</w:t>
            </w:r>
          </w:p>
        </w:tc>
        <w:tc>
          <w:tcPr>
            <w:tcW w:w="2959" w:type="dxa"/>
          </w:tcPr>
          <w:p w14:paraId="46C033EE" w14:textId="77777777" w:rsidR="00D644E9" w:rsidRDefault="000600CA">
            <w:pPr>
              <w:spacing w:after="0"/>
            </w:pPr>
            <w:hyperlink r:id="rId80">
              <w:r>
                <w:rPr>
                  <w:color w:val="0563C1"/>
                  <w:sz w:val="16"/>
                  <w:u w:val="single"/>
                </w:rPr>
                <w:t>Datos, privacidad y seguridad de agentes</w:t>
              </w:r>
            </w:hyperlink>
          </w:p>
          <w:p w14:paraId="569504A1" w14:textId="77777777" w:rsidR="00D644E9" w:rsidRDefault="000600CA">
            <w:pPr>
              <w:spacing w:after="0"/>
            </w:pPr>
            <w:hyperlink r:id="rId81">
              <w:r>
                <w:rPr>
                  <w:color w:val="0563C1"/>
                  <w:sz w:val="16"/>
                  <w:u w:val="single"/>
                </w:rPr>
                <w:t>Límites, cuotas y regiones</w:t>
              </w:r>
            </w:hyperlink>
          </w:p>
        </w:tc>
        <w:tc>
          <w:tcPr>
            <w:tcW w:w="2732" w:type="dxa"/>
          </w:tcPr>
          <w:p w14:paraId="2DDF8628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foundry\responsible-ai\agents\data-privacy-security.md</w:t>
            </w:r>
          </w:p>
          <w:p w14:paraId="732A750F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foundry\agents\concepts\limits-quotas-regions.md</w:t>
            </w:r>
          </w:p>
        </w:tc>
      </w:tr>
      <w:tr w:rsidR="00D644E9" w14:paraId="3D9CFE1D" w14:textId="77777777">
        <w:trPr>
          <w:cantSplit/>
          <w:jc w:val="center"/>
        </w:trPr>
        <w:tc>
          <w:tcPr>
            <w:tcW w:w="626" w:type="dxa"/>
          </w:tcPr>
          <w:p w14:paraId="41C3A3CC" w14:textId="77777777" w:rsidR="00D644E9" w:rsidRDefault="000600CA">
            <w:pPr>
              <w:spacing w:after="0"/>
            </w:pPr>
            <w:r>
              <w:rPr>
                <w:sz w:val="16"/>
              </w:rPr>
              <w:lastRenderedPageBreak/>
              <w:t>☐</w:t>
            </w:r>
          </w:p>
        </w:tc>
        <w:tc>
          <w:tcPr>
            <w:tcW w:w="512" w:type="dxa"/>
          </w:tcPr>
          <w:p w14:paraId="096F947E" w14:textId="77777777" w:rsidR="00D644E9" w:rsidRDefault="000600CA">
            <w:pPr>
              <w:spacing w:after="0"/>
            </w:pPr>
            <w:r>
              <w:rPr>
                <w:sz w:val="16"/>
              </w:rPr>
              <w:t>I4</w:t>
            </w:r>
          </w:p>
        </w:tc>
        <w:tc>
          <w:tcPr>
            <w:tcW w:w="4553" w:type="dxa"/>
          </w:tcPr>
          <w:p w14:paraId="18A04EE9" w14:textId="77777777" w:rsidR="00D644E9" w:rsidRDefault="000600CA">
            <w:pPr>
              <w:spacing w:after="0"/>
            </w:pPr>
            <w:r>
              <w:rPr>
                <w:sz w:val="16"/>
              </w:rPr>
              <w:t>Aplicas guardrails mínimos obligatorios por suscripción o grupo de recursos y integras Defender for Cloud y Microsoft Purview (auditoría, clasificación, DSPM for AI) con los requisitos que impone cada uno.</w:t>
            </w:r>
          </w:p>
        </w:tc>
        <w:tc>
          <w:tcPr>
            <w:tcW w:w="3756" w:type="dxa"/>
          </w:tcPr>
          <w:p w14:paraId="59000FC5" w14:textId="77777777" w:rsidR="00D644E9" w:rsidRDefault="000600CA">
            <w:pPr>
              <w:spacing w:after="0"/>
            </w:pPr>
            <w:r>
              <w:rPr>
                <w:sz w:val="16"/>
              </w:rPr>
              <w:t>El control centralizado evita que cada equipo decida su propio nivel de seguridad; Purview aporta evidencia y retención.</w:t>
            </w:r>
          </w:p>
        </w:tc>
        <w:tc>
          <w:tcPr>
            <w:tcW w:w="2959" w:type="dxa"/>
          </w:tcPr>
          <w:p w14:paraId="7269CB36" w14:textId="77777777" w:rsidR="00D644E9" w:rsidRDefault="000600CA">
            <w:pPr>
              <w:spacing w:after="0"/>
            </w:pPr>
            <w:hyperlink r:id="rId82">
              <w:r>
                <w:rPr>
                  <w:color w:val="0563C1"/>
                  <w:sz w:val="16"/>
                  <w:u w:val="single"/>
                </w:rPr>
                <w:t>Control Plane: cumplimiento y seguridad</w:t>
              </w:r>
            </w:hyperlink>
          </w:p>
          <w:p w14:paraId="5FA5BDDE" w14:textId="77777777" w:rsidR="00D644E9" w:rsidRDefault="000600CA">
            <w:pPr>
              <w:spacing w:after="0"/>
            </w:pPr>
            <w:hyperlink r:id="rId83">
              <w:r>
                <w:rPr>
                  <w:color w:val="0563C1"/>
                  <w:sz w:val="16"/>
                  <w:u w:val="single"/>
                </w:rPr>
                <w:t>Guardrails: visión general</w:t>
              </w:r>
            </w:hyperlink>
          </w:p>
        </w:tc>
        <w:tc>
          <w:tcPr>
            <w:tcW w:w="2732" w:type="dxa"/>
          </w:tcPr>
          <w:p w14:paraId="7471D32C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foundry\control-plane\how-to-manage-compliance-security.md</w:t>
            </w:r>
          </w:p>
          <w:p w14:paraId="4DBF43E8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foundry\guardrails\guardrails-overview.md</w:t>
            </w:r>
          </w:p>
        </w:tc>
      </w:tr>
      <w:tr w:rsidR="00D644E9" w14:paraId="0AE945DE" w14:textId="77777777">
        <w:trPr>
          <w:cantSplit/>
          <w:jc w:val="center"/>
        </w:trPr>
        <w:tc>
          <w:tcPr>
            <w:tcW w:w="626" w:type="dxa"/>
          </w:tcPr>
          <w:p w14:paraId="4ACD686A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452B8818" w14:textId="77777777" w:rsidR="00D644E9" w:rsidRDefault="000600CA">
            <w:pPr>
              <w:spacing w:after="0"/>
            </w:pPr>
            <w:r>
              <w:rPr>
                <w:sz w:val="16"/>
              </w:rPr>
              <w:t>I5</w:t>
            </w:r>
          </w:p>
        </w:tc>
        <w:tc>
          <w:tcPr>
            <w:tcW w:w="4553" w:type="dxa"/>
          </w:tcPr>
          <w:p w14:paraId="3210D58A" w14:textId="77777777" w:rsidR="00D644E9" w:rsidRDefault="000600CA">
            <w:pPr>
              <w:spacing w:after="0"/>
            </w:pPr>
            <w:r>
              <w:rPr>
                <w:sz w:val="16"/>
              </w:rPr>
              <w:t>Guardas evidencia para el comité de riesgo: ADRs aprobados, resultados de evaluación y red teaming, riesgos aceptados y revisiones periódicas, alineados con la nota de transparencia de agentes.</w:t>
            </w:r>
          </w:p>
        </w:tc>
        <w:tc>
          <w:tcPr>
            <w:tcW w:w="3756" w:type="dxa"/>
          </w:tcPr>
          <w:p w14:paraId="4ADCDA49" w14:textId="77777777" w:rsidR="00D644E9" w:rsidRDefault="000600CA">
            <w:pPr>
              <w:spacing w:after="0"/>
            </w:pPr>
            <w:r>
              <w:rPr>
                <w:sz w:val="16"/>
              </w:rPr>
              <w:t>Convierte el trabajo técnico en evidencia auditable y acorta la aprobación de nuevos casos de uso.</w:t>
            </w:r>
          </w:p>
        </w:tc>
        <w:tc>
          <w:tcPr>
            <w:tcW w:w="2959" w:type="dxa"/>
          </w:tcPr>
          <w:p w14:paraId="15AF037B" w14:textId="77777777" w:rsidR="00D644E9" w:rsidRDefault="000600CA">
            <w:pPr>
              <w:spacing w:after="0"/>
            </w:pPr>
            <w:hyperlink r:id="rId84">
              <w:r>
                <w:rPr>
                  <w:color w:val="0563C1"/>
                  <w:sz w:val="16"/>
                  <w:u w:val="single"/>
                </w:rPr>
                <w:t>Nota de transparencia de agentes</w:t>
              </w:r>
            </w:hyperlink>
          </w:p>
          <w:p w14:paraId="76253ACE" w14:textId="77777777" w:rsidR="00D644E9" w:rsidRDefault="000600CA">
            <w:pPr>
              <w:spacing w:after="0"/>
            </w:pPr>
            <w:hyperlink r:id="rId85">
              <w:r>
                <w:rPr>
                  <w:color w:val="0563C1"/>
                  <w:sz w:val="16"/>
                  <w:u w:val="single"/>
                </w:rPr>
                <w:t>Evaluaciones: visión general</w:t>
              </w:r>
            </w:hyperlink>
          </w:p>
        </w:tc>
        <w:tc>
          <w:tcPr>
            <w:tcW w:w="2732" w:type="dxa"/>
          </w:tcPr>
          <w:p w14:paraId="0D4DE8BA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foundry\responsible-ai\agents\transparency-note.md</w:t>
            </w:r>
          </w:p>
          <w:p w14:paraId="00E5CCAA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foundry\concepts\evaluation-overview.md</w:t>
            </w:r>
          </w:p>
        </w:tc>
      </w:tr>
    </w:tbl>
    <w:p w14:paraId="3229FA4A" w14:textId="77777777" w:rsidR="00D644E9" w:rsidRDefault="00D644E9">
      <w:pPr>
        <w:spacing w:after="40"/>
      </w:pPr>
    </w:p>
    <w:p w14:paraId="0F73C768" w14:textId="77777777" w:rsidR="00D644E9" w:rsidRDefault="000600CA">
      <w:pPr>
        <w:pStyle w:val="Heading2"/>
      </w:pPr>
      <w:r>
        <w:t>J. Operación e incidentes</w:t>
      </w:r>
    </w:p>
    <w:tbl>
      <w:tblPr>
        <w:tblStyle w:val="TableGrid"/>
        <w:tblW w:w="0" w:type="auto"/>
        <w:jc w:val="center"/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626"/>
        <w:gridCol w:w="512"/>
        <w:gridCol w:w="4553"/>
        <w:gridCol w:w="3756"/>
        <w:gridCol w:w="2959"/>
        <w:gridCol w:w="2732"/>
      </w:tblGrid>
      <w:tr w:rsidR="00D644E9" w14:paraId="650F4968" w14:textId="77777777">
        <w:trPr>
          <w:tblHeader/>
          <w:jc w:val="center"/>
        </w:trPr>
        <w:tc>
          <w:tcPr>
            <w:tcW w:w="626" w:type="dxa"/>
            <w:shd w:val="clear" w:color="auto" w:fill="0078D4"/>
          </w:tcPr>
          <w:p w14:paraId="67B5ACCB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Hecho</w:t>
            </w:r>
          </w:p>
        </w:tc>
        <w:tc>
          <w:tcPr>
            <w:tcW w:w="512" w:type="dxa"/>
            <w:shd w:val="clear" w:color="auto" w:fill="0078D4"/>
          </w:tcPr>
          <w:p w14:paraId="3FB2DF4B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4553" w:type="dxa"/>
            <w:shd w:val="clear" w:color="auto" w:fill="0078D4"/>
          </w:tcPr>
          <w:p w14:paraId="4C2D25D9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Ítem a verificar</w:t>
            </w:r>
          </w:p>
        </w:tc>
        <w:tc>
          <w:tcPr>
            <w:tcW w:w="3756" w:type="dxa"/>
            <w:shd w:val="clear" w:color="auto" w:fill="0078D4"/>
          </w:tcPr>
          <w:p w14:paraId="7B11DB5B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Por qué importa</w:t>
            </w:r>
          </w:p>
        </w:tc>
        <w:tc>
          <w:tcPr>
            <w:tcW w:w="2959" w:type="dxa"/>
            <w:shd w:val="clear" w:color="auto" w:fill="0078D4"/>
          </w:tcPr>
          <w:p w14:paraId="771936FA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Referencia oficial (Learn)</w:t>
            </w:r>
          </w:p>
        </w:tc>
        <w:tc>
          <w:tcPr>
            <w:tcW w:w="2732" w:type="dxa"/>
            <w:shd w:val="clear" w:color="auto" w:fill="0078D4"/>
          </w:tcPr>
          <w:p w14:paraId="1D5F1E04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Ruta offline (`docs-oficiales\`)</w:t>
            </w:r>
          </w:p>
        </w:tc>
      </w:tr>
      <w:tr w:rsidR="00D644E9" w14:paraId="604571EF" w14:textId="77777777">
        <w:trPr>
          <w:cantSplit/>
          <w:jc w:val="center"/>
        </w:trPr>
        <w:tc>
          <w:tcPr>
            <w:tcW w:w="626" w:type="dxa"/>
          </w:tcPr>
          <w:p w14:paraId="167FFF56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477356F1" w14:textId="77777777" w:rsidR="00D644E9" w:rsidRDefault="000600CA">
            <w:pPr>
              <w:spacing w:after="0"/>
            </w:pPr>
            <w:r>
              <w:rPr>
                <w:sz w:val="16"/>
              </w:rPr>
              <w:t>J1</w:t>
            </w:r>
          </w:p>
        </w:tc>
        <w:tc>
          <w:tcPr>
            <w:tcW w:w="4553" w:type="dxa"/>
          </w:tcPr>
          <w:p w14:paraId="2EDB2714" w14:textId="77777777" w:rsidR="00D644E9" w:rsidRDefault="000600CA">
            <w:pPr>
              <w:spacing w:after="0"/>
            </w:pPr>
            <w:r>
              <w:rPr>
                <w:sz w:val="16"/>
              </w:rPr>
              <w:t>Hay runbooks de incidentes de IA (fuga de datos, tool comprometida, respuesta dañina, degradación de calidad) con responsables, y los ensayas; haces postmortems sin culpa que actualizan el golden set y los controles.</w:t>
            </w:r>
          </w:p>
        </w:tc>
        <w:tc>
          <w:tcPr>
            <w:tcW w:w="3756" w:type="dxa"/>
          </w:tcPr>
          <w:p w14:paraId="287707B4" w14:textId="77777777" w:rsidR="00D644E9" w:rsidRDefault="000600CA">
            <w:pPr>
              <w:spacing w:after="0"/>
            </w:pPr>
            <w:r>
              <w:rPr>
                <w:sz w:val="16"/>
              </w:rPr>
              <w:t>El primer incidente no debería ser la primera vez que alguien lee el procedimiento.</w:t>
            </w:r>
          </w:p>
        </w:tc>
        <w:tc>
          <w:tcPr>
            <w:tcW w:w="2959" w:type="dxa"/>
          </w:tcPr>
          <w:p w14:paraId="796F4B45" w14:textId="77777777" w:rsidR="00D644E9" w:rsidRDefault="000600CA">
            <w:pPr>
              <w:spacing w:after="0"/>
            </w:pPr>
            <w:hyperlink r:id="rId86">
              <w:r>
                <w:rPr>
                  <w:color w:val="0563C1"/>
                  <w:sz w:val="16"/>
                  <w:u w:val="single"/>
                </w:rPr>
                <w:t>mslearn-ai-multi-agents, lab 17 (respuesta a incidentes)</w:t>
              </w:r>
            </w:hyperlink>
          </w:p>
        </w:tc>
        <w:tc>
          <w:tcPr>
            <w:tcW w:w="2732" w:type="dxa"/>
          </w:tcPr>
          <w:p w14:paraId="3DA78FD3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repos\microsoftlearning-labs\mslearn-ai-multi-agents\Instructions\Labs\17-adventure-works-incident-response.md</w:t>
            </w:r>
          </w:p>
        </w:tc>
      </w:tr>
      <w:tr w:rsidR="00D644E9" w14:paraId="5DD0A7D8" w14:textId="77777777">
        <w:trPr>
          <w:cantSplit/>
          <w:jc w:val="center"/>
        </w:trPr>
        <w:tc>
          <w:tcPr>
            <w:tcW w:w="626" w:type="dxa"/>
          </w:tcPr>
          <w:p w14:paraId="6330C752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615B8B66" w14:textId="77777777" w:rsidR="00D644E9" w:rsidRDefault="000600CA">
            <w:pPr>
              <w:spacing w:after="0"/>
            </w:pPr>
            <w:r>
              <w:rPr>
                <w:sz w:val="16"/>
              </w:rPr>
              <w:t>J2</w:t>
            </w:r>
          </w:p>
        </w:tc>
        <w:tc>
          <w:tcPr>
            <w:tcW w:w="4553" w:type="dxa"/>
          </w:tcPr>
          <w:p w14:paraId="0FFFB681" w14:textId="77777777" w:rsidR="00D644E9" w:rsidRDefault="000600CA">
            <w:pPr>
              <w:spacing w:after="0"/>
            </w:pPr>
            <w:r>
              <w:rPr>
                <w:sz w:val="16"/>
              </w:rPr>
              <w:t>Puedes activar un kill switch en minutos: terminar sesiones activas, cancelar turnos en curso, deshabilitar una tool o volver a la versión anterior, y alguien tiene el permiso y el procedimiento para hacerlo.</w:t>
            </w:r>
          </w:p>
        </w:tc>
        <w:tc>
          <w:tcPr>
            <w:tcW w:w="3756" w:type="dxa"/>
          </w:tcPr>
          <w:p w14:paraId="60091C4C" w14:textId="77777777" w:rsidR="00D644E9" w:rsidRDefault="000600CA">
            <w:pPr>
              <w:spacing w:after="0"/>
            </w:pPr>
            <w:r>
              <w:rPr>
                <w:sz w:val="16"/>
              </w:rPr>
              <w:t>Detener el daño debe ser más rápido que diagnosticarlo.</w:t>
            </w:r>
          </w:p>
        </w:tc>
        <w:tc>
          <w:tcPr>
            <w:tcW w:w="2959" w:type="dxa"/>
          </w:tcPr>
          <w:p w14:paraId="588F7A9B" w14:textId="77777777" w:rsidR="00D644E9" w:rsidRDefault="000600CA">
            <w:pPr>
              <w:spacing w:after="0"/>
            </w:pPr>
            <w:hyperlink r:id="rId87">
              <w:r>
                <w:rPr>
                  <w:color w:val="0563C1"/>
                  <w:sz w:val="16"/>
                  <w:u w:val="single"/>
                </w:rPr>
                <w:t>Administrar sesiones hosted</w:t>
              </w:r>
            </w:hyperlink>
          </w:p>
          <w:p w14:paraId="135F74D6" w14:textId="77777777" w:rsidR="00D644E9" w:rsidRDefault="000600CA">
            <w:pPr>
              <w:spacing w:after="0"/>
            </w:pPr>
            <w:hyperlink r:id="rId88">
              <w:r>
                <w:rPr>
                  <w:color w:val="0563C1"/>
                  <w:sz w:val="16"/>
                  <w:u w:val="single"/>
                </w:rPr>
                <w:t>Cancelar un turno hosted</w:t>
              </w:r>
            </w:hyperlink>
          </w:p>
          <w:p w14:paraId="5011F821" w14:textId="77777777" w:rsidR="00D644E9" w:rsidRDefault="000600CA">
            <w:pPr>
              <w:spacing w:after="0"/>
            </w:pPr>
            <w:hyperlink r:id="rId89">
              <w:r>
                <w:rPr>
                  <w:color w:val="0563C1"/>
                  <w:sz w:val="16"/>
                  <w:u w:val="single"/>
                </w:rPr>
                <w:t>Administrar un hosted agent</w:t>
              </w:r>
            </w:hyperlink>
          </w:p>
        </w:tc>
        <w:tc>
          <w:tcPr>
            <w:tcW w:w="2732" w:type="dxa"/>
          </w:tcPr>
          <w:p w14:paraId="5C68E147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foundry\agents\how-to\manage-hosted-sessions.md</w:t>
            </w:r>
          </w:p>
          <w:p w14:paraId="3E975216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foundry\agents\how-to\cancel-hosted-agent-turn.md</w:t>
            </w:r>
          </w:p>
          <w:p w14:paraId="4E34E20B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foundry\agents\how-to\manage-hosted-agent.md</w:t>
            </w:r>
          </w:p>
        </w:tc>
      </w:tr>
      <w:tr w:rsidR="00D644E9" w14:paraId="1F73255B" w14:textId="77777777">
        <w:trPr>
          <w:cantSplit/>
          <w:jc w:val="center"/>
        </w:trPr>
        <w:tc>
          <w:tcPr>
            <w:tcW w:w="626" w:type="dxa"/>
          </w:tcPr>
          <w:p w14:paraId="28C4003B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0249AD75" w14:textId="77777777" w:rsidR="00D644E9" w:rsidRDefault="000600CA">
            <w:pPr>
              <w:spacing w:after="0"/>
            </w:pPr>
            <w:r>
              <w:rPr>
                <w:sz w:val="16"/>
              </w:rPr>
              <w:t>J3</w:t>
            </w:r>
          </w:p>
        </w:tc>
        <w:tc>
          <w:tcPr>
            <w:tcW w:w="4553" w:type="dxa"/>
          </w:tcPr>
          <w:p w14:paraId="5F9002B2" w14:textId="77777777" w:rsidR="00D644E9" w:rsidRDefault="000600CA">
            <w:pPr>
              <w:spacing w:after="0"/>
            </w:pPr>
            <w:r>
              <w:rPr>
                <w:sz w:val="16"/>
              </w:rPr>
              <w:t>Las aprobaciones humanas son durables (sobreviven a reinicios) y las acciones son idempotentes, con bitácora de auditoría de solo anexar.</w:t>
            </w:r>
          </w:p>
        </w:tc>
        <w:tc>
          <w:tcPr>
            <w:tcW w:w="3756" w:type="dxa"/>
          </w:tcPr>
          <w:p w14:paraId="32C4526A" w14:textId="77777777" w:rsidR="00D644E9" w:rsidRDefault="000600CA">
            <w:pPr>
              <w:spacing w:after="0"/>
            </w:pPr>
            <w:r>
              <w:rPr>
                <w:sz w:val="16"/>
              </w:rPr>
              <w:t>Una aprobación que se pierde o se ejecuta dos veces es peor que no tenerla.</w:t>
            </w:r>
          </w:p>
        </w:tc>
        <w:tc>
          <w:tcPr>
            <w:tcW w:w="2959" w:type="dxa"/>
          </w:tcPr>
          <w:p w14:paraId="309A7EA1" w14:textId="77777777" w:rsidR="00D644E9" w:rsidRDefault="000600CA">
            <w:pPr>
              <w:spacing w:after="0"/>
            </w:pPr>
            <w:hyperlink r:id="rId90">
              <w:r>
                <w:rPr>
                  <w:color w:val="0563C1"/>
                  <w:sz w:val="16"/>
                  <w:u w:val="single"/>
                </w:rPr>
                <w:t>Aprobación humana (HITL)</w:t>
              </w:r>
            </w:hyperlink>
          </w:p>
          <w:p w14:paraId="31F8C353" w14:textId="77777777" w:rsidR="00D644E9" w:rsidRDefault="000600CA">
            <w:pPr>
              <w:spacing w:after="0"/>
            </w:pPr>
            <w:hyperlink r:id="rId91">
              <w:r>
                <w:rPr>
                  <w:color w:val="0563C1"/>
                  <w:sz w:val="16"/>
                  <w:u w:val="single"/>
                </w:rPr>
                <w:t>mslearn-ai-multi-agents, lab 16 (aprobación humana)</w:t>
              </w:r>
            </w:hyperlink>
          </w:p>
        </w:tc>
        <w:tc>
          <w:tcPr>
            <w:tcW w:w="2732" w:type="dxa"/>
          </w:tcPr>
          <w:p w14:paraId="2F6A2304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foundry\agents\how-to\add-human-in-the-loop.md</w:t>
            </w:r>
          </w:p>
          <w:p w14:paraId="15CE1E75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repos\microsoftlearning-labs\mslearn-ai-multi-agents\Instructions\Labs\16-adventure-works-human-approval.md</w:t>
            </w:r>
          </w:p>
        </w:tc>
      </w:tr>
      <w:tr w:rsidR="00D644E9" w14:paraId="59FD38E7" w14:textId="77777777">
        <w:trPr>
          <w:cantSplit/>
          <w:jc w:val="center"/>
        </w:trPr>
        <w:tc>
          <w:tcPr>
            <w:tcW w:w="626" w:type="dxa"/>
          </w:tcPr>
          <w:p w14:paraId="1F6CC60A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2AF62708" w14:textId="77777777" w:rsidR="00D644E9" w:rsidRDefault="000600CA">
            <w:pPr>
              <w:spacing w:after="0"/>
            </w:pPr>
            <w:r>
              <w:rPr>
                <w:sz w:val="16"/>
              </w:rPr>
              <w:t>J4</w:t>
            </w:r>
          </w:p>
        </w:tc>
        <w:tc>
          <w:tcPr>
            <w:tcW w:w="4553" w:type="dxa"/>
          </w:tcPr>
          <w:p w14:paraId="404416A1" w14:textId="77777777" w:rsidR="00D644E9" w:rsidRDefault="000600CA">
            <w:pPr>
              <w:spacing w:after="0"/>
            </w:pPr>
            <w:r>
              <w:rPr>
                <w:sz w:val="16"/>
              </w:rPr>
              <w:t>Puedes inspeccionar paso a paso una conversación fallida con Trace Replay (por Conversation ID o Trace ID) y, si reproduces el caso en pruebas, lo haces con tools simuladas o de solo lectura; además revisas cuotas, picos esperados (cierres de mes, feriados) y pruebas de recuperación antes de cada ventana crítica.</w:t>
            </w:r>
          </w:p>
        </w:tc>
        <w:tc>
          <w:tcPr>
            <w:tcW w:w="3756" w:type="dxa"/>
          </w:tcPr>
          <w:p w14:paraId="0F24E539" w14:textId="77777777" w:rsidR="00D644E9" w:rsidRDefault="000600CA">
            <w:pPr>
              <w:spacing w:after="0"/>
            </w:pPr>
            <w:r>
              <w:rPr>
                <w:sz w:val="16"/>
              </w:rPr>
              <w:t>Diagnosticar desde trazas acorta la resolución, y reproducir sin efectos colaterales evita agravar el incidente; los picos predecibles no deberían ser sorpresa.</w:t>
            </w:r>
          </w:p>
        </w:tc>
        <w:tc>
          <w:tcPr>
            <w:tcW w:w="2959" w:type="dxa"/>
          </w:tcPr>
          <w:p w14:paraId="157A812B" w14:textId="77777777" w:rsidR="00D644E9" w:rsidRDefault="000600CA">
            <w:pPr>
              <w:spacing w:after="0"/>
            </w:pPr>
            <w:hyperlink r:id="rId92">
              <w:r>
                <w:rPr>
                  <w:color w:val="0563C1"/>
                  <w:sz w:val="16"/>
                  <w:u w:val="single"/>
                </w:rPr>
                <w:t>Trace Replay</w:t>
              </w:r>
            </w:hyperlink>
          </w:p>
          <w:p w14:paraId="17BA10B6" w14:textId="77777777" w:rsidR="00D644E9" w:rsidRDefault="000600CA">
            <w:pPr>
              <w:spacing w:after="0"/>
            </w:pPr>
            <w:hyperlink r:id="rId93">
              <w:r>
                <w:rPr>
                  <w:color w:val="0563C1"/>
                  <w:sz w:val="16"/>
                  <w:u w:val="single"/>
                </w:rPr>
                <w:t>Límites, cuotas y regiones</w:t>
              </w:r>
            </w:hyperlink>
          </w:p>
          <w:p w14:paraId="581FD189" w14:textId="77777777" w:rsidR="00D644E9" w:rsidRDefault="000600CA">
            <w:pPr>
              <w:spacing w:after="0"/>
            </w:pPr>
            <w:hyperlink r:id="rId94">
              <w:r>
                <w:rPr>
                  <w:color w:val="0563C1"/>
                  <w:sz w:val="16"/>
                  <w:u w:val="single"/>
                </w:rPr>
                <w:t>mslearn-ai-multi-agents, lab 15 (rendimiento y costo)</w:t>
              </w:r>
            </w:hyperlink>
          </w:p>
        </w:tc>
        <w:tc>
          <w:tcPr>
            <w:tcW w:w="2732" w:type="dxa"/>
          </w:tcPr>
          <w:p w14:paraId="57B6502E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foundry\observability\how-to\trace-agent-replay.md</w:t>
            </w:r>
          </w:p>
          <w:p w14:paraId="082EE5A2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foundry\agents\concepts\limits-quotas-regions.md</w:t>
            </w:r>
          </w:p>
          <w:p w14:paraId="0A2C2111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repos\microsoftlearning-labs\mslearn-ai-multi-agents\Instructions\Labs\15-adventure-works-performance-cost.md</w:t>
            </w:r>
          </w:p>
        </w:tc>
      </w:tr>
    </w:tbl>
    <w:p w14:paraId="627CEACE" w14:textId="77777777" w:rsidR="00D644E9" w:rsidRDefault="00D644E9">
      <w:pPr>
        <w:spacing w:after="40"/>
      </w:pPr>
    </w:p>
    <w:p w14:paraId="6D48C876" w14:textId="77777777" w:rsidR="00D644E9" w:rsidRDefault="000600CA">
      <w:pPr>
        <w:pStyle w:val="Heading2"/>
      </w:pPr>
      <w:r>
        <w:t>Resumen de avance</w:t>
      </w:r>
    </w:p>
    <w:tbl>
      <w:tblPr>
        <w:tblStyle w:val="TableGrid"/>
        <w:tblW w:w="0" w:type="auto"/>
        <w:jc w:val="center"/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3166"/>
        <w:gridCol w:w="1036"/>
        <w:gridCol w:w="1727"/>
        <w:gridCol w:w="1727"/>
        <w:gridCol w:w="1727"/>
        <w:gridCol w:w="1151"/>
        <w:gridCol w:w="4605"/>
      </w:tblGrid>
      <w:tr w:rsidR="00D644E9" w14:paraId="585DCE55" w14:textId="77777777">
        <w:trPr>
          <w:tblHeader/>
          <w:jc w:val="center"/>
        </w:trPr>
        <w:tc>
          <w:tcPr>
            <w:tcW w:w="3166" w:type="dxa"/>
            <w:shd w:val="clear" w:color="auto" w:fill="0078D4"/>
          </w:tcPr>
          <w:p w14:paraId="1C3F38BA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Grupo</w:t>
            </w:r>
          </w:p>
        </w:tc>
        <w:tc>
          <w:tcPr>
            <w:tcW w:w="1036" w:type="dxa"/>
            <w:shd w:val="clear" w:color="auto" w:fill="0078D4"/>
          </w:tcPr>
          <w:p w14:paraId="406FF3BD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Ítems</w:t>
            </w:r>
          </w:p>
        </w:tc>
        <w:tc>
          <w:tcPr>
            <w:tcW w:w="1727" w:type="dxa"/>
            <w:shd w:val="clear" w:color="auto" w:fill="0078D4"/>
          </w:tcPr>
          <w:p w14:paraId="21E66E08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☑</w:t>
            </w:r>
            <w:r>
              <w:rPr>
                <w:b/>
                <w:color w:val="FFFFFF"/>
                <w:sz w:val="16"/>
              </w:rPr>
              <w:t xml:space="preserve"> Cumplidos</w:t>
            </w:r>
          </w:p>
        </w:tc>
        <w:tc>
          <w:tcPr>
            <w:tcW w:w="1727" w:type="dxa"/>
            <w:shd w:val="clear" w:color="auto" w:fill="0078D4"/>
          </w:tcPr>
          <w:p w14:paraId="2017F09D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◐ Parciales</w:t>
            </w:r>
          </w:p>
        </w:tc>
        <w:tc>
          <w:tcPr>
            <w:tcW w:w="1727" w:type="dxa"/>
            <w:shd w:val="clear" w:color="auto" w:fill="0078D4"/>
          </w:tcPr>
          <w:p w14:paraId="51768A5B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☐</w:t>
            </w:r>
            <w:r>
              <w:rPr>
                <w:b/>
                <w:color w:val="FFFFFF"/>
                <w:sz w:val="16"/>
              </w:rPr>
              <w:t xml:space="preserve"> Pendientes</w:t>
            </w:r>
          </w:p>
        </w:tc>
        <w:tc>
          <w:tcPr>
            <w:tcW w:w="1151" w:type="dxa"/>
            <w:shd w:val="clear" w:color="auto" w:fill="0078D4"/>
          </w:tcPr>
          <w:p w14:paraId="4BA69E4C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N/A</w:t>
            </w:r>
          </w:p>
        </w:tc>
        <w:tc>
          <w:tcPr>
            <w:tcW w:w="4605" w:type="dxa"/>
            <w:shd w:val="clear" w:color="auto" w:fill="0078D4"/>
          </w:tcPr>
          <w:p w14:paraId="5213B043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Backlog generado (ítems)</w:t>
            </w:r>
          </w:p>
        </w:tc>
      </w:tr>
      <w:tr w:rsidR="00D644E9" w14:paraId="15C40147" w14:textId="77777777">
        <w:trPr>
          <w:cantSplit/>
          <w:jc w:val="center"/>
        </w:trPr>
        <w:tc>
          <w:tcPr>
            <w:tcW w:w="3166" w:type="dxa"/>
          </w:tcPr>
          <w:p w14:paraId="21C18479" w14:textId="77777777" w:rsidR="00D644E9" w:rsidRDefault="000600CA">
            <w:pPr>
              <w:spacing w:after="0"/>
            </w:pPr>
            <w:r>
              <w:rPr>
                <w:sz w:val="16"/>
              </w:rPr>
              <w:t>A. Arquitectura y diseño</w:t>
            </w:r>
          </w:p>
        </w:tc>
        <w:tc>
          <w:tcPr>
            <w:tcW w:w="1036" w:type="dxa"/>
          </w:tcPr>
          <w:p w14:paraId="1803D786" w14:textId="77777777" w:rsidR="00D644E9" w:rsidRDefault="000600CA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1727" w:type="dxa"/>
          </w:tcPr>
          <w:p w14:paraId="666FE0AE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6D0B6B78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6A26C8E3" w14:textId="77777777" w:rsidR="00D644E9" w:rsidRDefault="00D644E9">
            <w:pPr>
              <w:spacing w:after="0"/>
            </w:pPr>
          </w:p>
        </w:tc>
        <w:tc>
          <w:tcPr>
            <w:tcW w:w="1151" w:type="dxa"/>
          </w:tcPr>
          <w:p w14:paraId="6CF594B0" w14:textId="77777777" w:rsidR="00D644E9" w:rsidRDefault="00D644E9">
            <w:pPr>
              <w:spacing w:after="0"/>
            </w:pPr>
          </w:p>
        </w:tc>
        <w:tc>
          <w:tcPr>
            <w:tcW w:w="4605" w:type="dxa"/>
          </w:tcPr>
          <w:p w14:paraId="2456172E" w14:textId="77777777" w:rsidR="00D644E9" w:rsidRDefault="00D644E9">
            <w:pPr>
              <w:spacing w:after="0"/>
            </w:pPr>
          </w:p>
        </w:tc>
      </w:tr>
      <w:tr w:rsidR="00D644E9" w14:paraId="36AC47E2" w14:textId="77777777">
        <w:trPr>
          <w:cantSplit/>
          <w:jc w:val="center"/>
        </w:trPr>
        <w:tc>
          <w:tcPr>
            <w:tcW w:w="3166" w:type="dxa"/>
          </w:tcPr>
          <w:p w14:paraId="1B71B1CC" w14:textId="77777777" w:rsidR="00D644E9" w:rsidRDefault="000600CA">
            <w:pPr>
              <w:spacing w:after="0"/>
            </w:pPr>
            <w:r>
              <w:rPr>
                <w:sz w:val="16"/>
              </w:rPr>
              <w:lastRenderedPageBreak/>
              <w:t>B. Identidad y acceso</w:t>
            </w:r>
          </w:p>
        </w:tc>
        <w:tc>
          <w:tcPr>
            <w:tcW w:w="1036" w:type="dxa"/>
          </w:tcPr>
          <w:p w14:paraId="73BEB101" w14:textId="77777777" w:rsidR="00D644E9" w:rsidRDefault="000600CA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1727" w:type="dxa"/>
          </w:tcPr>
          <w:p w14:paraId="759961A8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18445242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10147AEE" w14:textId="77777777" w:rsidR="00D644E9" w:rsidRDefault="00D644E9">
            <w:pPr>
              <w:spacing w:after="0"/>
            </w:pPr>
          </w:p>
        </w:tc>
        <w:tc>
          <w:tcPr>
            <w:tcW w:w="1151" w:type="dxa"/>
          </w:tcPr>
          <w:p w14:paraId="7CBCC4D7" w14:textId="77777777" w:rsidR="00D644E9" w:rsidRDefault="00D644E9">
            <w:pPr>
              <w:spacing w:after="0"/>
            </w:pPr>
          </w:p>
        </w:tc>
        <w:tc>
          <w:tcPr>
            <w:tcW w:w="4605" w:type="dxa"/>
          </w:tcPr>
          <w:p w14:paraId="70D857C6" w14:textId="77777777" w:rsidR="00D644E9" w:rsidRDefault="00D644E9">
            <w:pPr>
              <w:spacing w:after="0"/>
            </w:pPr>
          </w:p>
        </w:tc>
      </w:tr>
      <w:tr w:rsidR="00D644E9" w14:paraId="271882DC" w14:textId="77777777">
        <w:trPr>
          <w:cantSplit/>
          <w:jc w:val="center"/>
        </w:trPr>
        <w:tc>
          <w:tcPr>
            <w:tcW w:w="3166" w:type="dxa"/>
          </w:tcPr>
          <w:p w14:paraId="0A4E73CF" w14:textId="77777777" w:rsidR="00D644E9" w:rsidRDefault="000600CA">
            <w:pPr>
              <w:spacing w:after="0"/>
            </w:pPr>
            <w:r>
              <w:rPr>
                <w:sz w:val="16"/>
              </w:rPr>
              <w:t>C. Datos y retrieval</w:t>
            </w:r>
          </w:p>
        </w:tc>
        <w:tc>
          <w:tcPr>
            <w:tcW w:w="1036" w:type="dxa"/>
          </w:tcPr>
          <w:p w14:paraId="7EBD8358" w14:textId="77777777" w:rsidR="00D644E9" w:rsidRDefault="000600CA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1727" w:type="dxa"/>
          </w:tcPr>
          <w:p w14:paraId="4764BB2F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7E6DC96B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54D51BC9" w14:textId="77777777" w:rsidR="00D644E9" w:rsidRDefault="00D644E9">
            <w:pPr>
              <w:spacing w:after="0"/>
            </w:pPr>
          </w:p>
        </w:tc>
        <w:tc>
          <w:tcPr>
            <w:tcW w:w="1151" w:type="dxa"/>
          </w:tcPr>
          <w:p w14:paraId="0E97C910" w14:textId="77777777" w:rsidR="00D644E9" w:rsidRDefault="00D644E9">
            <w:pPr>
              <w:spacing w:after="0"/>
            </w:pPr>
          </w:p>
        </w:tc>
        <w:tc>
          <w:tcPr>
            <w:tcW w:w="4605" w:type="dxa"/>
          </w:tcPr>
          <w:p w14:paraId="70091286" w14:textId="77777777" w:rsidR="00D644E9" w:rsidRDefault="00D644E9">
            <w:pPr>
              <w:spacing w:after="0"/>
            </w:pPr>
          </w:p>
        </w:tc>
      </w:tr>
      <w:tr w:rsidR="00D644E9" w14:paraId="1F17F580" w14:textId="77777777">
        <w:trPr>
          <w:cantSplit/>
          <w:jc w:val="center"/>
        </w:trPr>
        <w:tc>
          <w:tcPr>
            <w:tcW w:w="3166" w:type="dxa"/>
          </w:tcPr>
          <w:p w14:paraId="72610637" w14:textId="77777777" w:rsidR="00D644E9" w:rsidRDefault="000600CA">
            <w:pPr>
              <w:spacing w:after="0"/>
            </w:pPr>
            <w:r>
              <w:rPr>
                <w:sz w:val="16"/>
              </w:rPr>
              <w:t>D. Tools, MCP y A2A</w:t>
            </w:r>
          </w:p>
        </w:tc>
        <w:tc>
          <w:tcPr>
            <w:tcW w:w="1036" w:type="dxa"/>
          </w:tcPr>
          <w:p w14:paraId="0F385316" w14:textId="77777777" w:rsidR="00D644E9" w:rsidRDefault="000600CA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1727" w:type="dxa"/>
          </w:tcPr>
          <w:p w14:paraId="7ED82411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44EC9F67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44AC1CBE" w14:textId="77777777" w:rsidR="00D644E9" w:rsidRDefault="00D644E9">
            <w:pPr>
              <w:spacing w:after="0"/>
            </w:pPr>
          </w:p>
        </w:tc>
        <w:tc>
          <w:tcPr>
            <w:tcW w:w="1151" w:type="dxa"/>
          </w:tcPr>
          <w:p w14:paraId="19D77533" w14:textId="77777777" w:rsidR="00D644E9" w:rsidRDefault="00D644E9">
            <w:pPr>
              <w:spacing w:after="0"/>
            </w:pPr>
          </w:p>
        </w:tc>
        <w:tc>
          <w:tcPr>
            <w:tcW w:w="4605" w:type="dxa"/>
          </w:tcPr>
          <w:p w14:paraId="79B7E6A3" w14:textId="77777777" w:rsidR="00D644E9" w:rsidRDefault="00D644E9">
            <w:pPr>
              <w:spacing w:after="0"/>
            </w:pPr>
          </w:p>
        </w:tc>
      </w:tr>
      <w:tr w:rsidR="00D644E9" w14:paraId="2196C681" w14:textId="77777777">
        <w:trPr>
          <w:cantSplit/>
          <w:jc w:val="center"/>
        </w:trPr>
        <w:tc>
          <w:tcPr>
            <w:tcW w:w="3166" w:type="dxa"/>
          </w:tcPr>
          <w:p w14:paraId="7531F3C2" w14:textId="77777777" w:rsidR="00D644E9" w:rsidRDefault="000600CA">
            <w:pPr>
              <w:spacing w:after="0"/>
            </w:pPr>
            <w:r>
              <w:rPr>
                <w:sz w:val="16"/>
              </w:rPr>
              <w:t>E. Seguridad de contenido y red teaming</w:t>
            </w:r>
          </w:p>
        </w:tc>
        <w:tc>
          <w:tcPr>
            <w:tcW w:w="1036" w:type="dxa"/>
          </w:tcPr>
          <w:p w14:paraId="18614587" w14:textId="77777777" w:rsidR="00D644E9" w:rsidRDefault="000600CA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1727" w:type="dxa"/>
          </w:tcPr>
          <w:p w14:paraId="66B4FCD2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4853E7A5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55EA793C" w14:textId="77777777" w:rsidR="00D644E9" w:rsidRDefault="00D644E9">
            <w:pPr>
              <w:spacing w:after="0"/>
            </w:pPr>
          </w:p>
        </w:tc>
        <w:tc>
          <w:tcPr>
            <w:tcW w:w="1151" w:type="dxa"/>
          </w:tcPr>
          <w:p w14:paraId="1F39D9E7" w14:textId="77777777" w:rsidR="00D644E9" w:rsidRDefault="00D644E9">
            <w:pPr>
              <w:spacing w:after="0"/>
            </w:pPr>
          </w:p>
        </w:tc>
        <w:tc>
          <w:tcPr>
            <w:tcW w:w="4605" w:type="dxa"/>
          </w:tcPr>
          <w:p w14:paraId="09692400" w14:textId="77777777" w:rsidR="00D644E9" w:rsidRDefault="00D644E9">
            <w:pPr>
              <w:spacing w:after="0"/>
            </w:pPr>
          </w:p>
        </w:tc>
      </w:tr>
      <w:tr w:rsidR="00D644E9" w14:paraId="1725E6AC" w14:textId="77777777">
        <w:trPr>
          <w:cantSplit/>
          <w:jc w:val="center"/>
        </w:trPr>
        <w:tc>
          <w:tcPr>
            <w:tcW w:w="3166" w:type="dxa"/>
          </w:tcPr>
          <w:p w14:paraId="304A06AD" w14:textId="77777777" w:rsidR="00D644E9" w:rsidRDefault="000600CA">
            <w:pPr>
              <w:spacing w:after="0"/>
            </w:pPr>
            <w:r>
              <w:rPr>
                <w:sz w:val="16"/>
              </w:rPr>
              <w:t>F. Evaluaciones y CI/CD</w:t>
            </w:r>
          </w:p>
        </w:tc>
        <w:tc>
          <w:tcPr>
            <w:tcW w:w="1036" w:type="dxa"/>
          </w:tcPr>
          <w:p w14:paraId="22EEDD16" w14:textId="77777777" w:rsidR="00D644E9" w:rsidRDefault="000600CA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1727" w:type="dxa"/>
          </w:tcPr>
          <w:p w14:paraId="40A45E59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7CC44F80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122AD32B" w14:textId="77777777" w:rsidR="00D644E9" w:rsidRDefault="00D644E9">
            <w:pPr>
              <w:spacing w:after="0"/>
            </w:pPr>
          </w:p>
        </w:tc>
        <w:tc>
          <w:tcPr>
            <w:tcW w:w="1151" w:type="dxa"/>
          </w:tcPr>
          <w:p w14:paraId="0FF3E13B" w14:textId="77777777" w:rsidR="00D644E9" w:rsidRDefault="00D644E9">
            <w:pPr>
              <w:spacing w:after="0"/>
            </w:pPr>
          </w:p>
        </w:tc>
        <w:tc>
          <w:tcPr>
            <w:tcW w:w="4605" w:type="dxa"/>
          </w:tcPr>
          <w:p w14:paraId="1A144849" w14:textId="77777777" w:rsidR="00D644E9" w:rsidRDefault="00D644E9">
            <w:pPr>
              <w:spacing w:after="0"/>
            </w:pPr>
          </w:p>
        </w:tc>
      </w:tr>
      <w:tr w:rsidR="00D644E9" w14:paraId="1212181A" w14:textId="77777777">
        <w:trPr>
          <w:cantSplit/>
          <w:jc w:val="center"/>
        </w:trPr>
        <w:tc>
          <w:tcPr>
            <w:tcW w:w="3166" w:type="dxa"/>
          </w:tcPr>
          <w:p w14:paraId="240F1945" w14:textId="77777777" w:rsidR="00D644E9" w:rsidRDefault="000600CA">
            <w:pPr>
              <w:spacing w:after="0"/>
            </w:pPr>
            <w:r>
              <w:rPr>
                <w:sz w:val="16"/>
              </w:rPr>
              <w:t>G. Observabilidad y SLOs</w:t>
            </w:r>
          </w:p>
        </w:tc>
        <w:tc>
          <w:tcPr>
            <w:tcW w:w="1036" w:type="dxa"/>
          </w:tcPr>
          <w:p w14:paraId="72493C29" w14:textId="77777777" w:rsidR="00D644E9" w:rsidRDefault="000600CA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1727" w:type="dxa"/>
          </w:tcPr>
          <w:p w14:paraId="7E95F7C3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5A4EF23E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21B01ED9" w14:textId="77777777" w:rsidR="00D644E9" w:rsidRDefault="00D644E9">
            <w:pPr>
              <w:spacing w:after="0"/>
            </w:pPr>
          </w:p>
        </w:tc>
        <w:tc>
          <w:tcPr>
            <w:tcW w:w="1151" w:type="dxa"/>
          </w:tcPr>
          <w:p w14:paraId="7C9C3B00" w14:textId="77777777" w:rsidR="00D644E9" w:rsidRDefault="00D644E9">
            <w:pPr>
              <w:spacing w:after="0"/>
            </w:pPr>
          </w:p>
        </w:tc>
        <w:tc>
          <w:tcPr>
            <w:tcW w:w="4605" w:type="dxa"/>
          </w:tcPr>
          <w:p w14:paraId="10907CD8" w14:textId="77777777" w:rsidR="00D644E9" w:rsidRDefault="00D644E9">
            <w:pPr>
              <w:spacing w:after="0"/>
            </w:pPr>
          </w:p>
        </w:tc>
      </w:tr>
      <w:tr w:rsidR="00D644E9" w14:paraId="5F87C563" w14:textId="77777777">
        <w:trPr>
          <w:cantSplit/>
          <w:jc w:val="center"/>
        </w:trPr>
        <w:tc>
          <w:tcPr>
            <w:tcW w:w="3166" w:type="dxa"/>
          </w:tcPr>
          <w:p w14:paraId="5B3368AC" w14:textId="77777777" w:rsidR="00D644E9" w:rsidRDefault="000600CA">
            <w:pPr>
              <w:spacing w:after="0"/>
            </w:pPr>
            <w:r>
              <w:rPr>
                <w:sz w:val="16"/>
              </w:rPr>
              <w:t>H. Costos y FinOps</w:t>
            </w:r>
          </w:p>
        </w:tc>
        <w:tc>
          <w:tcPr>
            <w:tcW w:w="1036" w:type="dxa"/>
          </w:tcPr>
          <w:p w14:paraId="5E437669" w14:textId="77777777" w:rsidR="00D644E9" w:rsidRDefault="000600CA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1727" w:type="dxa"/>
          </w:tcPr>
          <w:p w14:paraId="5D227182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0D69807D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23730358" w14:textId="77777777" w:rsidR="00D644E9" w:rsidRDefault="00D644E9">
            <w:pPr>
              <w:spacing w:after="0"/>
            </w:pPr>
          </w:p>
        </w:tc>
        <w:tc>
          <w:tcPr>
            <w:tcW w:w="1151" w:type="dxa"/>
          </w:tcPr>
          <w:p w14:paraId="0E5408D6" w14:textId="77777777" w:rsidR="00D644E9" w:rsidRDefault="00D644E9">
            <w:pPr>
              <w:spacing w:after="0"/>
            </w:pPr>
          </w:p>
        </w:tc>
        <w:tc>
          <w:tcPr>
            <w:tcW w:w="4605" w:type="dxa"/>
          </w:tcPr>
          <w:p w14:paraId="48E3A041" w14:textId="77777777" w:rsidR="00D644E9" w:rsidRDefault="00D644E9">
            <w:pPr>
              <w:spacing w:after="0"/>
            </w:pPr>
          </w:p>
        </w:tc>
      </w:tr>
      <w:tr w:rsidR="00D644E9" w14:paraId="54683DC1" w14:textId="77777777">
        <w:trPr>
          <w:cantSplit/>
          <w:jc w:val="center"/>
        </w:trPr>
        <w:tc>
          <w:tcPr>
            <w:tcW w:w="3166" w:type="dxa"/>
          </w:tcPr>
          <w:p w14:paraId="76AC56C1" w14:textId="77777777" w:rsidR="00D644E9" w:rsidRDefault="000600CA">
            <w:pPr>
              <w:spacing w:after="0"/>
            </w:pPr>
            <w:r>
              <w:rPr>
                <w:sz w:val="16"/>
              </w:rPr>
              <w:t>I. Gobierno y cumplimiento</w:t>
            </w:r>
          </w:p>
        </w:tc>
        <w:tc>
          <w:tcPr>
            <w:tcW w:w="1036" w:type="dxa"/>
          </w:tcPr>
          <w:p w14:paraId="4C892A9D" w14:textId="77777777" w:rsidR="00D644E9" w:rsidRDefault="000600CA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1727" w:type="dxa"/>
          </w:tcPr>
          <w:p w14:paraId="4534B6A8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12501AE8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262501E3" w14:textId="77777777" w:rsidR="00D644E9" w:rsidRDefault="00D644E9">
            <w:pPr>
              <w:spacing w:after="0"/>
            </w:pPr>
          </w:p>
        </w:tc>
        <w:tc>
          <w:tcPr>
            <w:tcW w:w="1151" w:type="dxa"/>
          </w:tcPr>
          <w:p w14:paraId="74C61F81" w14:textId="77777777" w:rsidR="00D644E9" w:rsidRDefault="00D644E9">
            <w:pPr>
              <w:spacing w:after="0"/>
            </w:pPr>
          </w:p>
        </w:tc>
        <w:tc>
          <w:tcPr>
            <w:tcW w:w="4605" w:type="dxa"/>
          </w:tcPr>
          <w:p w14:paraId="6FB380FC" w14:textId="77777777" w:rsidR="00D644E9" w:rsidRDefault="00D644E9">
            <w:pPr>
              <w:spacing w:after="0"/>
            </w:pPr>
          </w:p>
        </w:tc>
      </w:tr>
      <w:tr w:rsidR="00D644E9" w14:paraId="7F3014A3" w14:textId="77777777">
        <w:trPr>
          <w:cantSplit/>
          <w:jc w:val="center"/>
        </w:trPr>
        <w:tc>
          <w:tcPr>
            <w:tcW w:w="3166" w:type="dxa"/>
          </w:tcPr>
          <w:p w14:paraId="3E15F8D8" w14:textId="77777777" w:rsidR="00D644E9" w:rsidRDefault="000600CA">
            <w:pPr>
              <w:spacing w:after="0"/>
            </w:pPr>
            <w:r>
              <w:rPr>
                <w:sz w:val="16"/>
              </w:rPr>
              <w:t>J. Operación e incidentes</w:t>
            </w:r>
          </w:p>
        </w:tc>
        <w:tc>
          <w:tcPr>
            <w:tcW w:w="1036" w:type="dxa"/>
          </w:tcPr>
          <w:p w14:paraId="6BF8473D" w14:textId="77777777" w:rsidR="00D644E9" w:rsidRDefault="000600CA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1727" w:type="dxa"/>
          </w:tcPr>
          <w:p w14:paraId="2ED1E805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45BEE135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46D27C7B" w14:textId="77777777" w:rsidR="00D644E9" w:rsidRDefault="00D644E9">
            <w:pPr>
              <w:spacing w:after="0"/>
            </w:pPr>
          </w:p>
        </w:tc>
        <w:tc>
          <w:tcPr>
            <w:tcW w:w="1151" w:type="dxa"/>
          </w:tcPr>
          <w:p w14:paraId="13FE4670" w14:textId="77777777" w:rsidR="00D644E9" w:rsidRDefault="00D644E9">
            <w:pPr>
              <w:spacing w:after="0"/>
            </w:pPr>
          </w:p>
        </w:tc>
        <w:tc>
          <w:tcPr>
            <w:tcW w:w="4605" w:type="dxa"/>
          </w:tcPr>
          <w:p w14:paraId="1CE102AB" w14:textId="77777777" w:rsidR="00D644E9" w:rsidRDefault="00D644E9">
            <w:pPr>
              <w:spacing w:after="0"/>
            </w:pPr>
          </w:p>
        </w:tc>
      </w:tr>
      <w:tr w:rsidR="00D644E9" w14:paraId="7908B96A" w14:textId="77777777">
        <w:trPr>
          <w:cantSplit/>
          <w:jc w:val="center"/>
        </w:trPr>
        <w:tc>
          <w:tcPr>
            <w:tcW w:w="3166" w:type="dxa"/>
          </w:tcPr>
          <w:p w14:paraId="7294AC18" w14:textId="77777777" w:rsidR="00D644E9" w:rsidRDefault="000600CA">
            <w:pPr>
              <w:spacing w:after="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w="1036" w:type="dxa"/>
          </w:tcPr>
          <w:p w14:paraId="4C9B10BA" w14:textId="77777777" w:rsidR="00D644E9" w:rsidRDefault="000600CA">
            <w:pPr>
              <w:spacing w:after="0"/>
            </w:pPr>
            <w:r>
              <w:rPr>
                <w:b/>
                <w:sz w:val="16"/>
              </w:rPr>
              <w:t>43</w:t>
            </w:r>
          </w:p>
        </w:tc>
        <w:tc>
          <w:tcPr>
            <w:tcW w:w="1727" w:type="dxa"/>
          </w:tcPr>
          <w:p w14:paraId="73DD7AB8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12B9EC2B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01A5E2E6" w14:textId="77777777" w:rsidR="00D644E9" w:rsidRDefault="00D644E9">
            <w:pPr>
              <w:spacing w:after="0"/>
            </w:pPr>
          </w:p>
        </w:tc>
        <w:tc>
          <w:tcPr>
            <w:tcW w:w="1151" w:type="dxa"/>
          </w:tcPr>
          <w:p w14:paraId="53FE4AA6" w14:textId="77777777" w:rsidR="00D644E9" w:rsidRDefault="00D644E9">
            <w:pPr>
              <w:spacing w:after="0"/>
            </w:pPr>
          </w:p>
        </w:tc>
        <w:tc>
          <w:tcPr>
            <w:tcW w:w="4605" w:type="dxa"/>
          </w:tcPr>
          <w:p w14:paraId="5D82ABE1" w14:textId="77777777" w:rsidR="00D644E9" w:rsidRDefault="00D644E9">
            <w:pPr>
              <w:spacing w:after="0"/>
            </w:pPr>
          </w:p>
        </w:tc>
      </w:tr>
    </w:tbl>
    <w:p w14:paraId="5EBE202D" w14:textId="77777777" w:rsidR="00D644E9" w:rsidRDefault="00D644E9">
      <w:pPr>
        <w:spacing w:after="40"/>
      </w:pPr>
    </w:p>
    <w:p w14:paraId="3EE5442D" w14:textId="77777777" w:rsidR="00D644E9" w:rsidRDefault="000600CA">
      <w:pPr>
        <w:pStyle w:val="Heading2"/>
      </w:pPr>
      <w:r>
        <w:t>Notas de alcance</w:t>
      </w:r>
    </w:p>
    <w:p w14:paraId="7C75466A" w14:textId="77777777" w:rsidR="00D644E9" w:rsidRDefault="000600CA">
      <w:pPr>
        <w:pStyle w:val="ListBullet"/>
      </w:pPr>
      <w:r>
        <w:rPr>
          <w:b/>
        </w:rPr>
        <w:t>Preview:</w:t>
      </w:r>
      <w:r>
        <w:t xml:space="preserve"> guardrails de agentes y controles de tool call/response, controles de egress, Control Plane (Operate), gobernanza de tools con AI Gateway, panel de monitoreo y alertas, memoria, durable state store, Task Adherence y algunos evaluadores están en preview según la documentación consultada; no tienen SLA y requieren una decisión explícita de riesgo (ítem I2).</w:t>
      </w:r>
    </w:p>
    <w:p w14:paraId="3A1B4911" w14:textId="77777777" w:rsidR="00D644E9" w:rsidRDefault="000600CA">
      <w:pPr>
        <w:pStyle w:val="ListBullet"/>
      </w:pPr>
      <w:r>
        <w:rPr>
          <w:b/>
        </w:rPr>
        <w:t>MCP y guardrails:</w:t>
      </w:r>
      <w:r>
        <w:t xml:space="preserve"> los controles de tool call/response cubren solo las tools soportadas; para MCP servers propios aplica controles compensatorios (validación de esquema, aprobación humana, egress y aislamiento).</w:t>
      </w:r>
    </w:p>
    <w:p w14:paraId="43CEF50E" w14:textId="77777777" w:rsidR="00D644E9" w:rsidRDefault="000600CA">
      <w:pPr>
        <w:pStyle w:val="ListBullet"/>
      </w:pPr>
      <w:r>
        <w:rPr>
          <w:b/>
        </w:rPr>
        <w:t>AI Gateway y hosted agents:</w:t>
      </w:r>
      <w:r>
        <w:t xml:space="preserve"> la integración documentada de AI Gateway para modelos propios (BYOM) aplica a prompt agents; valida con tu equipo cómo se aplica a hosted agents antes de depender de ella.</w:t>
      </w:r>
    </w:p>
    <w:p w14:paraId="759BF8CB" w14:textId="77777777" w:rsidR="00D644E9" w:rsidRDefault="000600CA">
      <w:pPr>
        <w:pStyle w:val="ListBullet"/>
      </w:pPr>
      <w:r>
        <w:rPr>
          <w:b/>
        </w:rPr>
        <w:t>Fuentes:</w:t>
      </w:r>
      <w:r>
        <w:t xml:space="preserve"> páginas de Microsoft Learn y laboratorios públicos (MicrosoftLearning, Azure-Samples). Esta lista no usa datos reales de ninguna entidad.</w:t>
      </w:r>
    </w:p>
    <w:p w14:paraId="7BA4745C" w14:textId="77777777" w:rsidR="00D644E9" w:rsidRDefault="000600CA">
      <w:pPr>
        <w:pStyle w:val="Heading2"/>
      </w:pPr>
      <w:r>
        <w:t>Anexo. Referencias (URL)</w:t>
      </w:r>
    </w:p>
    <w:tbl>
      <w:tblPr>
        <w:tblStyle w:val="TableGrid"/>
        <w:tblW w:w="0" w:type="auto"/>
        <w:jc w:val="center"/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5240"/>
        <w:gridCol w:w="9898"/>
      </w:tblGrid>
      <w:tr w:rsidR="00D644E9" w14:paraId="2D0AC702" w14:textId="77777777">
        <w:trPr>
          <w:tblHeader/>
          <w:jc w:val="center"/>
        </w:trPr>
        <w:tc>
          <w:tcPr>
            <w:tcW w:w="5240" w:type="dxa"/>
            <w:shd w:val="clear" w:color="auto" w:fill="0078D4"/>
          </w:tcPr>
          <w:p w14:paraId="6F10EDEC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Documento</w:t>
            </w:r>
          </w:p>
        </w:tc>
        <w:tc>
          <w:tcPr>
            <w:tcW w:w="9898" w:type="dxa"/>
            <w:shd w:val="clear" w:color="auto" w:fill="0078D4"/>
          </w:tcPr>
          <w:p w14:paraId="7784645A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URL</w:t>
            </w:r>
          </w:p>
        </w:tc>
      </w:tr>
      <w:tr w:rsidR="00D644E9" w14:paraId="5B160F37" w14:textId="77777777">
        <w:trPr>
          <w:cantSplit/>
          <w:jc w:val="center"/>
        </w:trPr>
        <w:tc>
          <w:tcPr>
            <w:tcW w:w="5240" w:type="dxa"/>
          </w:tcPr>
          <w:p w14:paraId="11816A60" w14:textId="77777777" w:rsidR="00D644E9" w:rsidRDefault="000600CA">
            <w:pPr>
              <w:spacing w:after="0"/>
            </w:pPr>
            <w:r>
              <w:rPr>
                <w:sz w:val="16"/>
              </w:rPr>
              <w:t>Administrar sesiones hosted</w:t>
            </w:r>
          </w:p>
        </w:tc>
        <w:tc>
          <w:tcPr>
            <w:tcW w:w="9898" w:type="dxa"/>
          </w:tcPr>
          <w:p w14:paraId="2CDAA5C4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https://learn.microsoft.com/en-us/azure/foundry/agents/how-to/manage-hosted-sessions</w:t>
            </w:r>
          </w:p>
        </w:tc>
      </w:tr>
      <w:tr w:rsidR="00D644E9" w14:paraId="7CCD7D4C" w14:textId="77777777">
        <w:trPr>
          <w:cantSplit/>
          <w:jc w:val="center"/>
        </w:trPr>
        <w:tc>
          <w:tcPr>
            <w:tcW w:w="5240" w:type="dxa"/>
          </w:tcPr>
          <w:p w14:paraId="7852A7F7" w14:textId="77777777" w:rsidR="00D644E9" w:rsidRDefault="000600CA">
            <w:pPr>
              <w:spacing w:after="0"/>
            </w:pPr>
            <w:r>
              <w:rPr>
                <w:sz w:val="16"/>
              </w:rPr>
              <w:t>Administrar un hosted agent</w:t>
            </w:r>
          </w:p>
        </w:tc>
        <w:tc>
          <w:tcPr>
            <w:tcW w:w="9898" w:type="dxa"/>
          </w:tcPr>
          <w:p w14:paraId="160299A8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https://learn.microsoft.com/en-us/azure/foundry/agents/how-to/manage-hosted-agent</w:t>
            </w:r>
          </w:p>
        </w:tc>
      </w:tr>
      <w:tr w:rsidR="00D644E9" w14:paraId="132A6C0C" w14:textId="77777777">
        <w:trPr>
          <w:cantSplit/>
          <w:jc w:val="center"/>
        </w:trPr>
        <w:tc>
          <w:tcPr>
            <w:tcW w:w="5240" w:type="dxa"/>
          </w:tcPr>
          <w:p w14:paraId="724CC072" w14:textId="77777777" w:rsidR="00D644E9" w:rsidRDefault="000600CA">
            <w:pPr>
              <w:spacing w:after="0"/>
            </w:pPr>
            <w:r>
              <w:rPr>
                <w:sz w:val="16"/>
              </w:rPr>
              <w:t>Agent Service: visión general</w:t>
            </w:r>
          </w:p>
        </w:tc>
        <w:tc>
          <w:tcPr>
            <w:tcW w:w="9898" w:type="dxa"/>
          </w:tcPr>
          <w:p w14:paraId="057FCEBA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https://learn.microsoft.com/en-us/azure/foundry/agents/overview</w:t>
            </w:r>
          </w:p>
        </w:tc>
      </w:tr>
      <w:tr w:rsidR="00D644E9" w14:paraId="00E330F3" w14:textId="77777777">
        <w:trPr>
          <w:cantSplit/>
          <w:jc w:val="center"/>
        </w:trPr>
        <w:tc>
          <w:tcPr>
            <w:tcW w:w="5240" w:type="dxa"/>
          </w:tcPr>
          <w:p w14:paraId="5D7FBDDB" w14:textId="77777777" w:rsidR="00D644E9" w:rsidRDefault="000600CA">
            <w:pPr>
              <w:spacing w:after="0"/>
            </w:pPr>
            <w:r>
              <w:rPr>
                <w:sz w:val="16"/>
              </w:rPr>
              <w:t>AI Red Teaming Agent</w:t>
            </w:r>
          </w:p>
        </w:tc>
        <w:tc>
          <w:tcPr>
            <w:tcW w:w="9898" w:type="dxa"/>
          </w:tcPr>
          <w:p w14:paraId="08A36EED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https://learn.microsoft.com/en-us/azure/foundry/concepts/ai-red-teaming-agent</w:t>
            </w:r>
          </w:p>
        </w:tc>
      </w:tr>
      <w:tr w:rsidR="00D644E9" w14:paraId="5ECB1C18" w14:textId="77777777">
        <w:trPr>
          <w:cantSplit/>
          <w:jc w:val="center"/>
        </w:trPr>
        <w:tc>
          <w:tcPr>
            <w:tcW w:w="5240" w:type="dxa"/>
          </w:tcPr>
          <w:p w14:paraId="26D98C42" w14:textId="77777777" w:rsidR="00D644E9" w:rsidRDefault="000600CA">
            <w:pPr>
              <w:spacing w:after="0"/>
            </w:pPr>
            <w:r>
              <w:rPr>
                <w:sz w:val="16"/>
              </w:rPr>
              <w:t>AI Search con RBAC</w:t>
            </w:r>
          </w:p>
        </w:tc>
        <w:tc>
          <w:tcPr>
            <w:tcW w:w="9898" w:type="dxa"/>
          </w:tcPr>
          <w:p w14:paraId="02E67960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https://learn.microsoft.com/en-us/azure/search/search-get-started-rbac</w:t>
            </w:r>
          </w:p>
        </w:tc>
      </w:tr>
      <w:tr w:rsidR="00D644E9" w14:paraId="08C1D20B" w14:textId="77777777">
        <w:trPr>
          <w:cantSplit/>
          <w:jc w:val="center"/>
        </w:trPr>
        <w:tc>
          <w:tcPr>
            <w:tcW w:w="5240" w:type="dxa"/>
          </w:tcPr>
          <w:p w14:paraId="3101C077" w14:textId="77777777" w:rsidR="00D644E9" w:rsidRDefault="000600CA">
            <w:pPr>
              <w:spacing w:after="0"/>
            </w:pPr>
            <w:r>
              <w:rPr>
                <w:sz w:val="16"/>
              </w:rPr>
              <w:t>AI-Gateway: lab semantic-caching</w:t>
            </w:r>
          </w:p>
        </w:tc>
        <w:tc>
          <w:tcPr>
            <w:tcW w:w="9898" w:type="dxa"/>
          </w:tcPr>
          <w:p w14:paraId="2B417211" w14:textId="77777777" w:rsidR="00D644E9" w:rsidRDefault="000600CA">
            <w:pPr>
              <w:spacing w:after="0"/>
            </w:pPr>
            <w:r>
              <w:rPr>
                <w:sz w:val="16"/>
              </w:rPr>
              <w:t>https://github.com/Azure-Samples/AI-Gateway</w:t>
            </w:r>
          </w:p>
        </w:tc>
      </w:tr>
      <w:tr w:rsidR="00D644E9" w14:paraId="68D1E127" w14:textId="77777777">
        <w:trPr>
          <w:cantSplit/>
          <w:jc w:val="center"/>
        </w:trPr>
        <w:tc>
          <w:tcPr>
            <w:tcW w:w="5240" w:type="dxa"/>
          </w:tcPr>
          <w:p w14:paraId="0EA397A3" w14:textId="77777777" w:rsidR="00D644E9" w:rsidRDefault="000600CA">
            <w:pPr>
              <w:spacing w:after="0"/>
            </w:pPr>
            <w:r>
              <w:rPr>
                <w:sz w:val="16"/>
              </w:rPr>
              <w:t>Aislar sesiones por usuario</w:t>
            </w:r>
          </w:p>
        </w:tc>
        <w:tc>
          <w:tcPr>
            <w:tcW w:w="9898" w:type="dxa"/>
          </w:tcPr>
          <w:p w14:paraId="34FCFF10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https://learn.microsoft.com/en-us/azure/foundry/agents/how-to/isolate-sessions-per-user</w:t>
            </w:r>
          </w:p>
        </w:tc>
      </w:tr>
      <w:tr w:rsidR="00D644E9" w14:paraId="3D07DCCF" w14:textId="77777777">
        <w:trPr>
          <w:cantSplit/>
          <w:jc w:val="center"/>
        </w:trPr>
        <w:tc>
          <w:tcPr>
            <w:tcW w:w="5240" w:type="dxa"/>
          </w:tcPr>
          <w:p w14:paraId="56B774ED" w14:textId="77777777" w:rsidR="00D644E9" w:rsidRDefault="000600CA">
            <w:pPr>
              <w:spacing w:after="0"/>
            </w:pPr>
            <w:r>
              <w:rPr>
                <w:sz w:val="16"/>
              </w:rPr>
              <w:t>Alta disponibilidad y resiliencia</w:t>
            </w:r>
          </w:p>
        </w:tc>
        <w:tc>
          <w:tcPr>
            <w:tcW w:w="9898" w:type="dxa"/>
          </w:tcPr>
          <w:p w14:paraId="570D872E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https://learn.microsoft.com/en-us/azure/foundry/how-to/high-availability-resiliency</w:t>
            </w:r>
          </w:p>
        </w:tc>
      </w:tr>
      <w:tr w:rsidR="00D644E9" w14:paraId="279DD79E" w14:textId="77777777">
        <w:trPr>
          <w:cantSplit/>
          <w:jc w:val="center"/>
        </w:trPr>
        <w:tc>
          <w:tcPr>
            <w:tcW w:w="5240" w:type="dxa"/>
          </w:tcPr>
          <w:p w14:paraId="71AEB6A8" w14:textId="77777777" w:rsidR="00D644E9" w:rsidRDefault="000600CA">
            <w:pPr>
              <w:spacing w:after="0"/>
            </w:pPr>
            <w:r>
              <w:rPr>
                <w:sz w:val="16"/>
              </w:rPr>
              <w:t>Aprobación humana (HITL)</w:t>
            </w:r>
          </w:p>
        </w:tc>
        <w:tc>
          <w:tcPr>
            <w:tcW w:w="9898" w:type="dxa"/>
          </w:tcPr>
          <w:p w14:paraId="56A2337B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https://learn.microsoft.com/en-us/azure/foundry/agents/how-to/add-human-in-the-loop</w:t>
            </w:r>
          </w:p>
        </w:tc>
      </w:tr>
      <w:tr w:rsidR="00D644E9" w14:paraId="1E06CF32" w14:textId="77777777">
        <w:trPr>
          <w:cantSplit/>
          <w:jc w:val="center"/>
        </w:trPr>
        <w:tc>
          <w:tcPr>
            <w:tcW w:w="5240" w:type="dxa"/>
          </w:tcPr>
          <w:p w14:paraId="6D658B62" w14:textId="77777777" w:rsidR="00D644E9" w:rsidRDefault="000600CA">
            <w:pPr>
              <w:spacing w:after="0"/>
            </w:pPr>
            <w:r>
              <w:rPr>
                <w:sz w:val="16"/>
              </w:rPr>
              <w:t>Autenticación A2A</w:t>
            </w:r>
          </w:p>
        </w:tc>
        <w:tc>
          <w:tcPr>
            <w:tcW w:w="9898" w:type="dxa"/>
          </w:tcPr>
          <w:p w14:paraId="6BA11746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https://learn.microsoft.com/en-us/azure/foundry/agents/concepts/agent-to-agent-authentication</w:t>
            </w:r>
          </w:p>
        </w:tc>
      </w:tr>
      <w:tr w:rsidR="00D644E9" w14:paraId="39CAF71B" w14:textId="77777777">
        <w:trPr>
          <w:cantSplit/>
          <w:jc w:val="center"/>
        </w:trPr>
        <w:tc>
          <w:tcPr>
            <w:tcW w:w="5240" w:type="dxa"/>
          </w:tcPr>
          <w:p w14:paraId="064760E6" w14:textId="77777777" w:rsidR="00D644E9" w:rsidRDefault="000600CA">
            <w:pPr>
              <w:spacing w:after="0"/>
            </w:pPr>
            <w:r>
              <w:rPr>
                <w:sz w:val="16"/>
              </w:rPr>
              <w:t>Autenticación de MCP</w:t>
            </w:r>
          </w:p>
        </w:tc>
        <w:tc>
          <w:tcPr>
            <w:tcW w:w="9898" w:type="dxa"/>
          </w:tcPr>
          <w:p w14:paraId="7B5CFFB7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https://learn.microsoft.com/en-us/azure/foundry/agents/how-to/mcp-authentication</w:t>
            </w:r>
          </w:p>
        </w:tc>
      </w:tr>
      <w:tr w:rsidR="00D644E9" w14:paraId="7121E966" w14:textId="77777777">
        <w:trPr>
          <w:cantSplit/>
          <w:jc w:val="center"/>
        </w:trPr>
        <w:tc>
          <w:tcPr>
            <w:tcW w:w="5240" w:type="dxa"/>
          </w:tcPr>
          <w:p w14:paraId="3A76A8BE" w14:textId="77777777" w:rsidR="00D644E9" w:rsidRDefault="000600CA">
            <w:pPr>
              <w:spacing w:after="0"/>
            </w:pPr>
            <w:r>
              <w:rPr>
                <w:sz w:val="16"/>
              </w:rPr>
              <w:t>Buenas prácticas de herramientas</w:t>
            </w:r>
          </w:p>
        </w:tc>
        <w:tc>
          <w:tcPr>
            <w:tcW w:w="9898" w:type="dxa"/>
          </w:tcPr>
          <w:p w14:paraId="75344402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https://learn.microsoft.com/en-us/azure/foundry/agents/concepts/tool-best-practice</w:t>
            </w:r>
          </w:p>
        </w:tc>
      </w:tr>
      <w:tr w:rsidR="00D644E9" w14:paraId="6B6A1A57" w14:textId="77777777">
        <w:trPr>
          <w:cantSplit/>
          <w:jc w:val="center"/>
        </w:trPr>
        <w:tc>
          <w:tcPr>
            <w:tcW w:w="5240" w:type="dxa"/>
          </w:tcPr>
          <w:p w14:paraId="3D03E4D1" w14:textId="77777777" w:rsidR="00D644E9" w:rsidRDefault="000600CA">
            <w:pPr>
              <w:spacing w:after="0"/>
            </w:pPr>
            <w:r>
              <w:rPr>
                <w:sz w:val="16"/>
              </w:rPr>
              <w:lastRenderedPageBreak/>
              <w:t>Cancelar un turno hosted</w:t>
            </w:r>
          </w:p>
        </w:tc>
        <w:tc>
          <w:tcPr>
            <w:tcW w:w="9898" w:type="dxa"/>
          </w:tcPr>
          <w:p w14:paraId="596DFC04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https://learn.microsoft.com/en-us/azure/foundry/agents/how-to/cancel-hosted-agent-turn</w:t>
            </w:r>
          </w:p>
        </w:tc>
      </w:tr>
      <w:tr w:rsidR="00D644E9" w14:paraId="5422C922" w14:textId="77777777">
        <w:trPr>
          <w:cantSplit/>
          <w:jc w:val="center"/>
        </w:trPr>
        <w:tc>
          <w:tcPr>
            <w:tcW w:w="5240" w:type="dxa"/>
          </w:tcPr>
          <w:p w14:paraId="6081633B" w14:textId="77777777" w:rsidR="00D644E9" w:rsidRDefault="000600CA">
            <w:pPr>
              <w:spacing w:after="0"/>
            </w:pPr>
            <w:r>
              <w:rPr>
                <w:sz w:val="16"/>
              </w:rPr>
              <w:t>CI/CD de hosted agents (azd)</w:t>
            </w:r>
          </w:p>
        </w:tc>
        <w:tc>
          <w:tcPr>
            <w:tcW w:w="9898" w:type="dxa"/>
          </w:tcPr>
          <w:p w14:paraId="5EC8B05D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https://learn.microsoft.com/en-us/azure/foundry/agents/how-to/set-up-ci-cd-cli</w:t>
            </w:r>
          </w:p>
        </w:tc>
      </w:tr>
      <w:tr w:rsidR="00D644E9" w14:paraId="4574B5B3" w14:textId="77777777">
        <w:trPr>
          <w:cantSplit/>
          <w:jc w:val="center"/>
        </w:trPr>
        <w:tc>
          <w:tcPr>
            <w:tcW w:w="5240" w:type="dxa"/>
          </w:tcPr>
          <w:p w14:paraId="558B0607" w14:textId="77777777" w:rsidR="00D644E9" w:rsidRDefault="000600CA">
            <w:pPr>
              <w:spacing w:after="0"/>
            </w:pPr>
            <w:r>
              <w:rPr>
                <w:sz w:val="16"/>
              </w:rPr>
              <w:t>Contenido sensible en trazas</w:t>
            </w:r>
          </w:p>
        </w:tc>
        <w:tc>
          <w:tcPr>
            <w:tcW w:w="9898" w:type="dxa"/>
          </w:tcPr>
          <w:p w14:paraId="51730ADE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https://learn.microsoft.com/en-us/azure/foundry/observability/how-to/traces-sensitive-content</w:t>
            </w:r>
          </w:p>
        </w:tc>
      </w:tr>
      <w:tr w:rsidR="00D644E9" w14:paraId="0FF088D9" w14:textId="77777777">
        <w:trPr>
          <w:cantSplit/>
          <w:jc w:val="center"/>
        </w:trPr>
        <w:tc>
          <w:tcPr>
            <w:tcW w:w="5240" w:type="dxa"/>
          </w:tcPr>
          <w:p w14:paraId="296B5FB5" w14:textId="77777777" w:rsidR="00D644E9" w:rsidRDefault="000600CA">
            <w:pPr>
              <w:spacing w:after="0"/>
            </w:pPr>
            <w:r>
              <w:rPr>
                <w:sz w:val="16"/>
              </w:rPr>
              <w:t>Control Plane: cumplimiento y seguridad</w:t>
            </w:r>
          </w:p>
        </w:tc>
        <w:tc>
          <w:tcPr>
            <w:tcW w:w="9898" w:type="dxa"/>
          </w:tcPr>
          <w:p w14:paraId="174367C4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https://learn.microsoft.com/en-us/azure/foundry/control-plane/how-to-manage-compliance-security</w:t>
            </w:r>
          </w:p>
        </w:tc>
      </w:tr>
      <w:tr w:rsidR="00D644E9" w14:paraId="31E44E36" w14:textId="77777777">
        <w:trPr>
          <w:cantSplit/>
          <w:jc w:val="center"/>
        </w:trPr>
        <w:tc>
          <w:tcPr>
            <w:tcW w:w="5240" w:type="dxa"/>
          </w:tcPr>
          <w:p w14:paraId="19BE9A9E" w14:textId="77777777" w:rsidR="00D644E9" w:rsidRDefault="000600CA">
            <w:pPr>
              <w:spacing w:after="0"/>
            </w:pPr>
            <w:r>
              <w:rPr>
                <w:sz w:val="16"/>
              </w:rPr>
              <w:t>Control Plane: visión general</w:t>
            </w:r>
          </w:p>
        </w:tc>
        <w:tc>
          <w:tcPr>
            <w:tcW w:w="9898" w:type="dxa"/>
          </w:tcPr>
          <w:p w14:paraId="403E5233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https://learn.microsoft.com/en-us/azure/foundry/control-plane/overview</w:t>
            </w:r>
          </w:p>
        </w:tc>
      </w:tr>
      <w:tr w:rsidR="00D644E9" w14:paraId="36E68541" w14:textId="77777777">
        <w:trPr>
          <w:cantSplit/>
          <w:jc w:val="center"/>
        </w:trPr>
        <w:tc>
          <w:tcPr>
            <w:tcW w:w="5240" w:type="dxa"/>
          </w:tcPr>
          <w:p w14:paraId="1E9945BC" w14:textId="77777777" w:rsidR="00D644E9" w:rsidRDefault="000600CA">
            <w:pPr>
              <w:spacing w:after="0"/>
            </w:pPr>
            <w:r>
              <w:rPr>
                <w:sz w:val="16"/>
              </w:rPr>
              <w:t>Datos, privacidad y seguridad de agentes</w:t>
            </w:r>
          </w:p>
        </w:tc>
        <w:tc>
          <w:tcPr>
            <w:tcW w:w="9898" w:type="dxa"/>
          </w:tcPr>
          <w:p w14:paraId="79150826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https://learn.microsoft.com/en-us/azure/foundry/responsible-ai/agents/data-privacy-security</w:t>
            </w:r>
          </w:p>
        </w:tc>
      </w:tr>
      <w:tr w:rsidR="00D644E9" w14:paraId="639FD941" w14:textId="77777777">
        <w:trPr>
          <w:cantSplit/>
          <w:jc w:val="center"/>
        </w:trPr>
        <w:tc>
          <w:tcPr>
            <w:tcW w:w="5240" w:type="dxa"/>
          </w:tcPr>
          <w:p w14:paraId="4492D45F" w14:textId="77777777" w:rsidR="00D644E9" w:rsidRDefault="000600CA">
            <w:pPr>
              <w:spacing w:after="0"/>
            </w:pPr>
            <w:r>
              <w:rPr>
                <w:sz w:val="16"/>
              </w:rPr>
              <w:t>Deshabilitar funciones preview</w:t>
            </w:r>
          </w:p>
        </w:tc>
        <w:tc>
          <w:tcPr>
            <w:tcW w:w="9898" w:type="dxa"/>
          </w:tcPr>
          <w:p w14:paraId="4FEA1E79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https://learn.microsoft.com/en-us/azure/foundry/how-to/disable-preview-features</w:t>
            </w:r>
          </w:p>
        </w:tc>
      </w:tr>
      <w:tr w:rsidR="00D644E9" w14:paraId="63DC4D78" w14:textId="77777777">
        <w:trPr>
          <w:cantSplit/>
          <w:jc w:val="center"/>
        </w:trPr>
        <w:tc>
          <w:tcPr>
            <w:tcW w:w="5240" w:type="dxa"/>
          </w:tcPr>
          <w:p w14:paraId="065E6F87" w14:textId="77777777" w:rsidR="00D644E9" w:rsidRDefault="000600CA">
            <w:pPr>
              <w:spacing w:after="0"/>
            </w:pPr>
            <w:r>
              <w:rPr>
                <w:sz w:val="16"/>
              </w:rPr>
              <w:t>Disponibilidad general vs preview</w:t>
            </w:r>
          </w:p>
        </w:tc>
        <w:tc>
          <w:tcPr>
            <w:tcW w:w="9898" w:type="dxa"/>
          </w:tcPr>
          <w:p w14:paraId="6FE94A82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https://learn.microsoft.com/en-us/azure/foundry/concepts/general-availability</w:t>
            </w:r>
          </w:p>
        </w:tc>
      </w:tr>
      <w:tr w:rsidR="00D644E9" w14:paraId="3A311757" w14:textId="77777777">
        <w:trPr>
          <w:cantSplit/>
          <w:jc w:val="center"/>
        </w:trPr>
        <w:tc>
          <w:tcPr>
            <w:tcW w:w="5240" w:type="dxa"/>
          </w:tcPr>
          <w:p w14:paraId="1594D255" w14:textId="77777777" w:rsidR="00D644E9" w:rsidRDefault="000600CA">
            <w:pPr>
              <w:spacing w:after="0"/>
            </w:pPr>
            <w:r>
              <w:rPr>
                <w:sz w:val="16"/>
              </w:rPr>
              <w:t>Durable state store (preview)</w:t>
            </w:r>
          </w:p>
        </w:tc>
        <w:tc>
          <w:tcPr>
            <w:tcW w:w="9898" w:type="dxa"/>
          </w:tcPr>
          <w:p w14:paraId="0955C346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https://learn.microsoft.com/en-us/azure/foundry/agents/concepts/agent-state-store</w:t>
            </w:r>
          </w:p>
        </w:tc>
      </w:tr>
      <w:tr w:rsidR="00D644E9" w14:paraId="52F02CE7" w14:textId="77777777">
        <w:trPr>
          <w:cantSplit/>
          <w:jc w:val="center"/>
        </w:trPr>
        <w:tc>
          <w:tcPr>
            <w:tcW w:w="5240" w:type="dxa"/>
          </w:tcPr>
          <w:p w14:paraId="08594651" w14:textId="77777777" w:rsidR="00D644E9" w:rsidRDefault="000600CA">
            <w:pPr>
              <w:spacing w:after="0"/>
            </w:pPr>
            <w:r>
              <w:rPr>
                <w:sz w:val="16"/>
              </w:rPr>
              <w:t>Evaluaciones: visión general</w:t>
            </w:r>
          </w:p>
        </w:tc>
        <w:tc>
          <w:tcPr>
            <w:tcW w:w="9898" w:type="dxa"/>
          </w:tcPr>
          <w:p w14:paraId="63EB3F81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https://learn.microsoft.com/en-us/azure/foundry/concepts/evaluation-overview</w:t>
            </w:r>
          </w:p>
        </w:tc>
      </w:tr>
      <w:tr w:rsidR="00D644E9" w14:paraId="3743EDB9" w14:textId="77777777">
        <w:trPr>
          <w:cantSplit/>
          <w:jc w:val="center"/>
        </w:trPr>
        <w:tc>
          <w:tcPr>
            <w:tcW w:w="5240" w:type="dxa"/>
          </w:tcPr>
          <w:p w14:paraId="62F7691E" w14:textId="77777777" w:rsidR="00D644E9" w:rsidRDefault="000600CA">
            <w:pPr>
              <w:spacing w:after="0"/>
            </w:pPr>
            <w:r>
              <w:rPr>
                <w:sz w:val="16"/>
              </w:rPr>
              <w:t>Evaluación con Azure DevOps</w:t>
            </w:r>
          </w:p>
        </w:tc>
        <w:tc>
          <w:tcPr>
            <w:tcW w:w="9898" w:type="dxa"/>
          </w:tcPr>
          <w:p w14:paraId="48887D83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https://learn.microsoft.com/en-us/azure/foundry/how-to/evaluation-azure-devops</w:t>
            </w:r>
          </w:p>
        </w:tc>
      </w:tr>
      <w:tr w:rsidR="00D644E9" w14:paraId="7C977AE3" w14:textId="77777777">
        <w:trPr>
          <w:cantSplit/>
          <w:jc w:val="center"/>
        </w:trPr>
        <w:tc>
          <w:tcPr>
            <w:tcW w:w="5240" w:type="dxa"/>
          </w:tcPr>
          <w:p w14:paraId="44039199" w14:textId="77777777" w:rsidR="00D644E9" w:rsidRDefault="000600CA">
            <w:pPr>
              <w:spacing w:after="0"/>
            </w:pPr>
            <w:r>
              <w:rPr>
                <w:sz w:val="16"/>
              </w:rPr>
              <w:t>Evaluación con GitHub Actions</w:t>
            </w:r>
          </w:p>
        </w:tc>
        <w:tc>
          <w:tcPr>
            <w:tcW w:w="9898" w:type="dxa"/>
          </w:tcPr>
          <w:p w14:paraId="57F567AF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https://learn.microsoft.com/en-us/azure/foundry/how-to/evaluation-github-action</w:t>
            </w:r>
          </w:p>
        </w:tc>
      </w:tr>
      <w:tr w:rsidR="00D644E9" w14:paraId="2E43AA03" w14:textId="77777777">
        <w:trPr>
          <w:cantSplit/>
          <w:jc w:val="center"/>
        </w:trPr>
        <w:tc>
          <w:tcPr>
            <w:tcW w:w="5240" w:type="dxa"/>
          </w:tcPr>
          <w:p w14:paraId="5A526042" w14:textId="77777777" w:rsidR="00D644E9" w:rsidRDefault="000600CA">
            <w:pPr>
              <w:spacing w:after="0"/>
            </w:pPr>
            <w:r>
              <w:rPr>
                <w:sz w:val="16"/>
              </w:rPr>
              <w:t>Evaluadores integrados</w:t>
            </w:r>
          </w:p>
        </w:tc>
        <w:tc>
          <w:tcPr>
            <w:tcW w:w="9898" w:type="dxa"/>
          </w:tcPr>
          <w:p w14:paraId="25439F51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https://learn.microsoft.com/en-us/azure/foundry/concepts/built-in-evaluators</w:t>
            </w:r>
          </w:p>
        </w:tc>
      </w:tr>
      <w:tr w:rsidR="00D644E9" w14:paraId="003810B6" w14:textId="77777777">
        <w:trPr>
          <w:cantSplit/>
          <w:jc w:val="center"/>
        </w:trPr>
        <w:tc>
          <w:tcPr>
            <w:tcW w:w="5240" w:type="dxa"/>
          </w:tcPr>
          <w:p w14:paraId="74DE08C8" w14:textId="77777777" w:rsidR="00D644E9" w:rsidRDefault="000600CA">
            <w:pPr>
              <w:spacing w:after="0"/>
            </w:pPr>
            <w:r>
              <w:rPr>
                <w:sz w:val="16"/>
              </w:rPr>
              <w:t>Flujo On-Behalf-Of</w:t>
            </w:r>
          </w:p>
        </w:tc>
        <w:tc>
          <w:tcPr>
            <w:tcW w:w="9898" w:type="dxa"/>
          </w:tcPr>
          <w:p w14:paraId="0503DCBE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https://learn.microsoft.com/en-us/azure/foundry/agents/how-to/use-on-behalf-of-flow</w:t>
            </w:r>
          </w:p>
        </w:tc>
      </w:tr>
      <w:tr w:rsidR="00D644E9" w14:paraId="04E92F64" w14:textId="77777777">
        <w:trPr>
          <w:cantSplit/>
          <w:jc w:val="center"/>
        </w:trPr>
        <w:tc>
          <w:tcPr>
            <w:tcW w:w="5240" w:type="dxa"/>
          </w:tcPr>
          <w:p w14:paraId="01E5C5A0" w14:textId="77777777" w:rsidR="00D644E9" w:rsidRDefault="000600CA">
            <w:pPr>
              <w:spacing w:after="0"/>
            </w:pPr>
            <w:r>
              <w:rPr>
                <w:sz w:val="16"/>
              </w:rPr>
              <w:t>Gateway de IA generativa</w:t>
            </w:r>
          </w:p>
        </w:tc>
        <w:tc>
          <w:tcPr>
            <w:tcW w:w="9898" w:type="dxa"/>
          </w:tcPr>
          <w:p w14:paraId="66DB44BF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https://learn.microsoft.com/en-us/azure/architecture/ai-ml/guide/generative-ai-gateway</w:t>
            </w:r>
          </w:p>
        </w:tc>
      </w:tr>
      <w:tr w:rsidR="00D644E9" w14:paraId="404E9572" w14:textId="77777777">
        <w:trPr>
          <w:cantSplit/>
          <w:jc w:val="center"/>
        </w:trPr>
        <w:tc>
          <w:tcPr>
            <w:tcW w:w="5240" w:type="dxa"/>
          </w:tcPr>
          <w:p w14:paraId="00CBC4FB" w14:textId="77777777" w:rsidR="00D644E9" w:rsidRDefault="000600CA">
            <w:pPr>
              <w:spacing w:after="0"/>
            </w:pPr>
            <w:r>
              <w:rPr>
                <w:sz w:val="16"/>
              </w:rPr>
              <w:t>Gestión de costos</w:t>
            </w:r>
          </w:p>
        </w:tc>
        <w:tc>
          <w:tcPr>
            <w:tcW w:w="9898" w:type="dxa"/>
          </w:tcPr>
          <w:p w14:paraId="245086C2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https://learn.microsoft.com/en-us/azure/foundry/concepts/manage-costs</w:t>
            </w:r>
          </w:p>
        </w:tc>
      </w:tr>
      <w:tr w:rsidR="00D644E9" w14:paraId="45E21828" w14:textId="77777777">
        <w:trPr>
          <w:cantSplit/>
          <w:jc w:val="center"/>
        </w:trPr>
        <w:tc>
          <w:tcPr>
            <w:tcW w:w="5240" w:type="dxa"/>
          </w:tcPr>
          <w:p w14:paraId="21C81B02" w14:textId="77777777" w:rsidR="00D644E9" w:rsidRDefault="000600CA">
            <w:pPr>
              <w:spacing w:after="0"/>
            </w:pPr>
            <w:r>
              <w:rPr>
                <w:sz w:val="16"/>
              </w:rPr>
              <w:t>Guardrails para hosted agents</w:t>
            </w:r>
          </w:p>
        </w:tc>
        <w:tc>
          <w:tcPr>
            <w:tcW w:w="9898" w:type="dxa"/>
          </w:tcPr>
          <w:p w14:paraId="14C0DCC4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https://learn.microsoft.com/en-us/azure/foundry/agents/how-to/add-hosted-agent-guardrails</w:t>
            </w:r>
          </w:p>
        </w:tc>
      </w:tr>
      <w:tr w:rsidR="00D644E9" w14:paraId="3553A9F1" w14:textId="77777777">
        <w:trPr>
          <w:cantSplit/>
          <w:jc w:val="center"/>
        </w:trPr>
        <w:tc>
          <w:tcPr>
            <w:tcW w:w="5240" w:type="dxa"/>
          </w:tcPr>
          <w:p w14:paraId="0DC57EEA" w14:textId="77777777" w:rsidR="00D644E9" w:rsidRDefault="000600CA">
            <w:pPr>
              <w:spacing w:after="0"/>
            </w:pPr>
            <w:r>
              <w:rPr>
                <w:sz w:val="16"/>
              </w:rPr>
              <w:t>Guardrails: visión general</w:t>
            </w:r>
          </w:p>
        </w:tc>
        <w:tc>
          <w:tcPr>
            <w:tcW w:w="9898" w:type="dxa"/>
          </w:tcPr>
          <w:p w14:paraId="6CA29C50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https://learn.microsoft.com/en-us/azure/foundry/guardrails/guardrails-overview</w:t>
            </w:r>
          </w:p>
        </w:tc>
      </w:tr>
      <w:tr w:rsidR="00D644E9" w14:paraId="0DC77BC2" w14:textId="77777777">
        <w:trPr>
          <w:cantSplit/>
          <w:jc w:val="center"/>
        </w:trPr>
        <w:tc>
          <w:tcPr>
            <w:tcW w:w="5240" w:type="dxa"/>
          </w:tcPr>
          <w:p w14:paraId="65AB4636" w14:textId="77777777" w:rsidR="00D644E9" w:rsidRDefault="000600CA">
            <w:pPr>
              <w:spacing w:after="0"/>
            </w:pPr>
            <w:r>
              <w:rPr>
                <w:sz w:val="16"/>
              </w:rPr>
              <w:t>Herramienta A2A</w:t>
            </w:r>
          </w:p>
        </w:tc>
        <w:tc>
          <w:tcPr>
            <w:tcW w:w="9898" w:type="dxa"/>
          </w:tcPr>
          <w:p w14:paraId="76B16047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https://learn.microsoft.com/en-us/azure/foundry/agents/how-to/tools/agent-to-agent</w:t>
            </w:r>
          </w:p>
        </w:tc>
      </w:tr>
      <w:tr w:rsidR="00D644E9" w14:paraId="3CDAFB2B" w14:textId="77777777">
        <w:trPr>
          <w:cantSplit/>
          <w:jc w:val="center"/>
        </w:trPr>
        <w:tc>
          <w:tcPr>
            <w:tcW w:w="5240" w:type="dxa"/>
          </w:tcPr>
          <w:p w14:paraId="38E36D9C" w14:textId="77777777" w:rsidR="00D644E9" w:rsidRDefault="000600CA">
            <w:pPr>
              <w:spacing w:after="0"/>
            </w:pPr>
            <w:r>
              <w:rPr>
                <w:sz w:val="16"/>
              </w:rPr>
              <w:t>Herramienta MCP</w:t>
            </w:r>
          </w:p>
        </w:tc>
        <w:tc>
          <w:tcPr>
            <w:tcW w:w="9898" w:type="dxa"/>
          </w:tcPr>
          <w:p w14:paraId="07F0D2FD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https://learn.microsoft.com/en-us/azure/foundry/agents/how-to/tools/model-context-protocol</w:t>
            </w:r>
          </w:p>
        </w:tc>
      </w:tr>
      <w:tr w:rsidR="00D644E9" w14:paraId="4C84CE10" w14:textId="77777777">
        <w:trPr>
          <w:cantSplit/>
          <w:jc w:val="center"/>
        </w:trPr>
        <w:tc>
          <w:tcPr>
            <w:tcW w:w="5240" w:type="dxa"/>
          </w:tcPr>
          <w:p w14:paraId="37E2707F" w14:textId="77777777" w:rsidR="00D644E9" w:rsidRDefault="000600CA">
            <w:pPr>
              <w:spacing w:after="0"/>
            </w:pPr>
            <w:r>
              <w:rPr>
                <w:sz w:val="16"/>
              </w:rPr>
              <w:t>Hosted agents</w:t>
            </w:r>
          </w:p>
        </w:tc>
        <w:tc>
          <w:tcPr>
            <w:tcW w:w="9898" w:type="dxa"/>
          </w:tcPr>
          <w:p w14:paraId="050283BE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https://learn.microsoft.com/en-us/azure/foundry/agents/concepts/hosted-agents</w:t>
            </w:r>
          </w:p>
        </w:tc>
      </w:tr>
      <w:tr w:rsidR="00D644E9" w14:paraId="010939B2" w14:textId="77777777">
        <w:trPr>
          <w:cantSplit/>
          <w:jc w:val="center"/>
        </w:trPr>
        <w:tc>
          <w:tcPr>
            <w:tcW w:w="5240" w:type="dxa"/>
          </w:tcPr>
          <w:p w14:paraId="1DE224F0" w14:textId="77777777" w:rsidR="00D644E9" w:rsidRDefault="000600CA">
            <w:pPr>
              <w:spacing w:after="0"/>
            </w:pPr>
            <w:r>
              <w:rPr>
                <w:sz w:val="16"/>
              </w:rPr>
              <w:t>Identidad de agente</w:t>
            </w:r>
          </w:p>
        </w:tc>
        <w:tc>
          <w:tcPr>
            <w:tcW w:w="9898" w:type="dxa"/>
          </w:tcPr>
          <w:p w14:paraId="07AFDEF6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https://learn.microsoft.com/en-us/azure/foundry/agents/concepts/agent-identity</w:t>
            </w:r>
          </w:p>
        </w:tc>
      </w:tr>
      <w:tr w:rsidR="00D644E9" w14:paraId="5F9000FD" w14:textId="77777777">
        <w:trPr>
          <w:cantSplit/>
          <w:jc w:val="center"/>
        </w:trPr>
        <w:tc>
          <w:tcPr>
            <w:tcW w:w="5240" w:type="dxa"/>
          </w:tcPr>
          <w:p w14:paraId="59F7093A" w14:textId="77777777" w:rsidR="00D644E9" w:rsidRDefault="000600CA">
            <w:pPr>
              <w:spacing w:after="0"/>
            </w:pPr>
            <w:r>
              <w:rPr>
                <w:sz w:val="16"/>
              </w:rPr>
              <w:t>Límites de tokens (Control Plane)</w:t>
            </w:r>
          </w:p>
        </w:tc>
        <w:tc>
          <w:tcPr>
            <w:tcW w:w="9898" w:type="dxa"/>
          </w:tcPr>
          <w:p w14:paraId="7529CC50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https://learn.microsoft.com/en-us/azure/foundry/control-plane/how-to-enforce-limits-models</w:t>
            </w:r>
          </w:p>
        </w:tc>
      </w:tr>
      <w:tr w:rsidR="00D644E9" w14:paraId="0C77C220" w14:textId="77777777">
        <w:trPr>
          <w:cantSplit/>
          <w:jc w:val="center"/>
        </w:trPr>
        <w:tc>
          <w:tcPr>
            <w:tcW w:w="5240" w:type="dxa"/>
          </w:tcPr>
          <w:p w14:paraId="3282C15A" w14:textId="77777777" w:rsidR="00D644E9" w:rsidRDefault="000600CA">
            <w:pPr>
              <w:spacing w:after="0"/>
            </w:pPr>
            <w:r>
              <w:rPr>
                <w:sz w:val="16"/>
              </w:rPr>
              <w:t>Límites, cuotas y regiones</w:t>
            </w:r>
          </w:p>
        </w:tc>
        <w:tc>
          <w:tcPr>
            <w:tcW w:w="9898" w:type="dxa"/>
          </w:tcPr>
          <w:p w14:paraId="5D40728F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https://learn.microsoft.com/en-us/azure/foundry/agents/concepts/limits-quotas-regions</w:t>
            </w:r>
          </w:p>
        </w:tc>
      </w:tr>
      <w:tr w:rsidR="00D644E9" w14:paraId="67E3D0BF" w14:textId="77777777">
        <w:trPr>
          <w:cantSplit/>
          <w:jc w:val="center"/>
        </w:trPr>
        <w:tc>
          <w:tcPr>
            <w:tcW w:w="5240" w:type="dxa"/>
          </w:tcPr>
          <w:p w14:paraId="695F07DC" w14:textId="77777777" w:rsidR="00D644E9" w:rsidRDefault="000600CA">
            <w:pPr>
              <w:spacing w:after="0"/>
            </w:pPr>
            <w:r>
              <w:rPr>
                <w:sz w:val="16"/>
              </w:rPr>
              <w:t>Memoria de agentes (preview)</w:t>
            </w:r>
          </w:p>
        </w:tc>
        <w:tc>
          <w:tcPr>
            <w:tcW w:w="9898" w:type="dxa"/>
          </w:tcPr>
          <w:p w14:paraId="7DBD72A3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https://learn.microsoft.com/en-us/azure/foundry/agents/concepts/what-is-memory</w:t>
            </w:r>
          </w:p>
        </w:tc>
      </w:tr>
      <w:tr w:rsidR="00D644E9" w14:paraId="2621FA6D" w14:textId="77777777">
        <w:trPr>
          <w:cantSplit/>
          <w:jc w:val="center"/>
        </w:trPr>
        <w:tc>
          <w:tcPr>
            <w:tcW w:w="5240" w:type="dxa"/>
          </w:tcPr>
          <w:p w14:paraId="29CC2134" w14:textId="77777777" w:rsidR="00D644E9" w:rsidRDefault="000600CA">
            <w:pPr>
              <w:spacing w:after="0"/>
            </w:pPr>
            <w:r>
              <w:rPr>
                <w:sz w:val="16"/>
              </w:rPr>
              <w:t>mslearn-ai-multi-agents, lab 15 (rendimiento y costo)</w:t>
            </w:r>
          </w:p>
        </w:tc>
        <w:tc>
          <w:tcPr>
            <w:tcW w:w="9898" w:type="dxa"/>
          </w:tcPr>
          <w:p w14:paraId="17229E5C" w14:textId="77777777" w:rsidR="00D644E9" w:rsidRDefault="000600CA">
            <w:pPr>
              <w:spacing w:after="0"/>
            </w:pPr>
            <w:r>
              <w:rPr>
                <w:sz w:val="16"/>
              </w:rPr>
              <w:t>https://github.com/MicrosoftLearning/mslearn-ai-multi-agents</w:t>
            </w:r>
          </w:p>
        </w:tc>
      </w:tr>
      <w:tr w:rsidR="00D644E9" w14:paraId="6546B9C3" w14:textId="77777777">
        <w:trPr>
          <w:cantSplit/>
          <w:jc w:val="center"/>
        </w:trPr>
        <w:tc>
          <w:tcPr>
            <w:tcW w:w="5240" w:type="dxa"/>
          </w:tcPr>
          <w:p w14:paraId="0090FA9F" w14:textId="77777777" w:rsidR="00D644E9" w:rsidRDefault="000600CA">
            <w:pPr>
              <w:spacing w:after="0"/>
            </w:pPr>
            <w:r>
              <w:rPr>
                <w:sz w:val="16"/>
              </w:rPr>
              <w:t>Multiplexar usuarios en una sesión</w:t>
            </w:r>
          </w:p>
        </w:tc>
        <w:tc>
          <w:tcPr>
            <w:tcW w:w="9898" w:type="dxa"/>
          </w:tcPr>
          <w:p w14:paraId="54EB6321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https://learn.microsoft.com/en-us/azure/foundry/agents/how-to/multiplex-session-users</w:t>
            </w:r>
          </w:p>
        </w:tc>
      </w:tr>
      <w:tr w:rsidR="00D644E9" w14:paraId="76840A79" w14:textId="77777777">
        <w:trPr>
          <w:cantSplit/>
          <w:jc w:val="center"/>
        </w:trPr>
        <w:tc>
          <w:tcPr>
            <w:tcW w:w="5240" w:type="dxa"/>
          </w:tcPr>
          <w:p w14:paraId="65514BCC" w14:textId="77777777" w:rsidR="00D644E9" w:rsidRDefault="000600CA">
            <w:pPr>
              <w:spacing w:after="0"/>
            </w:pPr>
            <w:r>
              <w:rPr>
                <w:sz w:val="16"/>
              </w:rPr>
              <w:t>Nota de transparencia de agentes</w:t>
            </w:r>
          </w:p>
        </w:tc>
        <w:tc>
          <w:tcPr>
            <w:tcW w:w="9898" w:type="dxa"/>
          </w:tcPr>
          <w:p w14:paraId="7AD5C8C4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https://learn.microsoft.com/en-us/azure/foundry/responsible-ai/agents/transparency-note</w:t>
            </w:r>
          </w:p>
        </w:tc>
      </w:tr>
      <w:tr w:rsidR="00D644E9" w14:paraId="4E7E58D1" w14:textId="77777777">
        <w:trPr>
          <w:cantSplit/>
          <w:jc w:val="center"/>
        </w:trPr>
        <w:tc>
          <w:tcPr>
            <w:tcW w:w="5240" w:type="dxa"/>
          </w:tcPr>
          <w:p w14:paraId="4292CD27" w14:textId="77777777" w:rsidR="00D644E9" w:rsidRDefault="000600CA">
            <w:pPr>
              <w:spacing w:after="0"/>
            </w:pPr>
            <w:r>
              <w:rPr>
                <w:sz w:val="16"/>
              </w:rPr>
              <w:t>Opciones de red</w:t>
            </w:r>
          </w:p>
        </w:tc>
        <w:tc>
          <w:tcPr>
            <w:tcW w:w="9898" w:type="dxa"/>
          </w:tcPr>
          <w:p w14:paraId="14D51B20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https://learn.microsoft.com/en-us/azure/foundry/agents/concepts/networking-options</w:t>
            </w:r>
          </w:p>
        </w:tc>
      </w:tr>
      <w:tr w:rsidR="00D644E9" w14:paraId="7AB7DF1A" w14:textId="77777777">
        <w:trPr>
          <w:cantSplit/>
          <w:jc w:val="center"/>
        </w:trPr>
        <w:tc>
          <w:tcPr>
            <w:tcW w:w="5240" w:type="dxa"/>
          </w:tcPr>
          <w:p w14:paraId="60221A9F" w14:textId="77777777" w:rsidR="00D644E9" w:rsidRDefault="000600CA">
            <w:pPr>
              <w:spacing w:after="0"/>
            </w:pPr>
            <w:r>
              <w:rPr>
                <w:sz w:val="16"/>
              </w:rPr>
              <w:t>Panel de monitoreo (preview)</w:t>
            </w:r>
          </w:p>
        </w:tc>
        <w:tc>
          <w:tcPr>
            <w:tcW w:w="9898" w:type="dxa"/>
          </w:tcPr>
          <w:p w14:paraId="176437A8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https://learn.microsoft.com/en-us/azure/foundry/observability/how-to/how-to-monitor-agents-dashboard</w:t>
            </w:r>
          </w:p>
        </w:tc>
      </w:tr>
      <w:tr w:rsidR="00D644E9" w14:paraId="01BCDEB1" w14:textId="77777777">
        <w:trPr>
          <w:cantSplit/>
          <w:jc w:val="center"/>
        </w:trPr>
        <w:tc>
          <w:tcPr>
            <w:tcW w:w="5240" w:type="dxa"/>
          </w:tcPr>
          <w:p w14:paraId="7AF6D5B0" w14:textId="77777777" w:rsidR="00D644E9" w:rsidRDefault="000600CA">
            <w:pPr>
              <w:spacing w:after="0"/>
            </w:pPr>
            <w:r>
              <w:rPr>
                <w:sz w:val="16"/>
              </w:rPr>
              <w:t>Patrones de diseño de agentes</w:t>
            </w:r>
          </w:p>
        </w:tc>
        <w:tc>
          <w:tcPr>
            <w:tcW w:w="9898" w:type="dxa"/>
          </w:tcPr>
          <w:p w14:paraId="6A70BAD8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https://learn.microsoft.com/en-us/azure/architecture/ai-ml/guide/ai-agent-design-patterns</w:t>
            </w:r>
          </w:p>
        </w:tc>
      </w:tr>
      <w:tr w:rsidR="00D644E9" w14:paraId="511D354C" w14:textId="77777777">
        <w:trPr>
          <w:cantSplit/>
          <w:jc w:val="center"/>
        </w:trPr>
        <w:tc>
          <w:tcPr>
            <w:tcW w:w="5240" w:type="dxa"/>
          </w:tcPr>
          <w:p w14:paraId="45B7E732" w14:textId="77777777" w:rsidR="00D644E9" w:rsidRDefault="000600CA">
            <w:pPr>
              <w:spacing w:after="0"/>
            </w:pPr>
            <w:r>
              <w:rPr>
                <w:sz w:val="16"/>
              </w:rPr>
              <w:t>Permisos de hosted agents</w:t>
            </w:r>
          </w:p>
        </w:tc>
        <w:tc>
          <w:tcPr>
            <w:tcW w:w="9898" w:type="dxa"/>
          </w:tcPr>
          <w:p w14:paraId="3B2D3A2A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https://learn.microsoft.com/en-us/azure/foundry/agents/concepts/hosted-agent-permissions</w:t>
            </w:r>
          </w:p>
        </w:tc>
      </w:tr>
      <w:tr w:rsidR="00D644E9" w14:paraId="053E523A" w14:textId="77777777">
        <w:trPr>
          <w:cantSplit/>
          <w:jc w:val="center"/>
        </w:trPr>
        <w:tc>
          <w:tcPr>
            <w:tcW w:w="5240" w:type="dxa"/>
          </w:tcPr>
          <w:p w14:paraId="68928EDB" w14:textId="77777777" w:rsidR="00D644E9" w:rsidRDefault="000600CA">
            <w:pPr>
              <w:spacing w:after="0"/>
            </w:pPr>
            <w:r>
              <w:rPr>
                <w:sz w:val="16"/>
              </w:rPr>
              <w:t>Prompt Shields</w:t>
            </w:r>
          </w:p>
        </w:tc>
        <w:tc>
          <w:tcPr>
            <w:tcW w:w="9898" w:type="dxa"/>
          </w:tcPr>
          <w:p w14:paraId="597F5720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https://learn.microsoft.com/en-us/azure/foundry/openai/concepts/content-filter-prompt-shields</w:t>
            </w:r>
          </w:p>
        </w:tc>
      </w:tr>
      <w:tr w:rsidR="00D644E9" w14:paraId="567CB5FB" w14:textId="77777777">
        <w:trPr>
          <w:cantSplit/>
          <w:jc w:val="center"/>
        </w:trPr>
        <w:tc>
          <w:tcPr>
            <w:tcW w:w="5240" w:type="dxa"/>
          </w:tcPr>
          <w:p w14:paraId="42E52841" w14:textId="77777777" w:rsidR="00D644E9" w:rsidRDefault="000600CA">
            <w:pPr>
              <w:spacing w:after="0"/>
            </w:pPr>
            <w:r>
              <w:rPr>
                <w:sz w:val="16"/>
              </w:rPr>
              <w:t>Puntos de intervención</w:t>
            </w:r>
          </w:p>
        </w:tc>
        <w:tc>
          <w:tcPr>
            <w:tcW w:w="9898" w:type="dxa"/>
          </w:tcPr>
          <w:p w14:paraId="6C460D64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https://learn.microsoft.com/en-us/azure/foundry/guardrails/intervention-points</w:t>
            </w:r>
          </w:p>
        </w:tc>
      </w:tr>
      <w:tr w:rsidR="00D644E9" w14:paraId="7597525C" w14:textId="77777777">
        <w:trPr>
          <w:cantSplit/>
          <w:jc w:val="center"/>
        </w:trPr>
        <w:tc>
          <w:tcPr>
            <w:tcW w:w="5240" w:type="dxa"/>
          </w:tcPr>
          <w:p w14:paraId="095E3361" w14:textId="77777777" w:rsidR="00D644E9" w:rsidRDefault="000600CA">
            <w:pPr>
              <w:spacing w:after="0"/>
            </w:pPr>
            <w:r>
              <w:rPr>
                <w:sz w:val="16"/>
              </w:rPr>
              <w:lastRenderedPageBreak/>
              <w:t>RAG multitenant seguro</w:t>
            </w:r>
          </w:p>
        </w:tc>
        <w:tc>
          <w:tcPr>
            <w:tcW w:w="9898" w:type="dxa"/>
          </w:tcPr>
          <w:p w14:paraId="7DE5D7DE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https://learn.microsoft.com/en-us/azure/architecture/ai-ml/guide/secure-multitenant-rag</w:t>
            </w:r>
          </w:p>
        </w:tc>
      </w:tr>
      <w:tr w:rsidR="00D644E9" w14:paraId="3A53501F" w14:textId="77777777">
        <w:trPr>
          <w:cantSplit/>
          <w:jc w:val="center"/>
        </w:trPr>
        <w:tc>
          <w:tcPr>
            <w:tcW w:w="5240" w:type="dxa"/>
          </w:tcPr>
          <w:p w14:paraId="493F9738" w14:textId="77777777" w:rsidR="00D644E9" w:rsidRDefault="000600CA">
            <w:pPr>
              <w:spacing w:after="0"/>
            </w:pPr>
            <w:r>
              <w:rPr>
                <w:sz w:val="16"/>
              </w:rPr>
              <w:t>RAG: fase de evaluación</w:t>
            </w:r>
          </w:p>
        </w:tc>
        <w:tc>
          <w:tcPr>
            <w:tcW w:w="9898" w:type="dxa"/>
          </w:tcPr>
          <w:p w14:paraId="27992CAA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https://learn.microsoft.com/en-us/azure/architecture/ai-ml/guide/rag/rag-llm-evaluation-phase</w:t>
            </w:r>
          </w:p>
        </w:tc>
      </w:tr>
      <w:tr w:rsidR="00D644E9" w14:paraId="6E2E8301" w14:textId="77777777">
        <w:trPr>
          <w:cantSplit/>
          <w:jc w:val="center"/>
        </w:trPr>
        <w:tc>
          <w:tcPr>
            <w:tcW w:w="5240" w:type="dxa"/>
          </w:tcPr>
          <w:p w14:paraId="2935915A" w14:textId="77777777" w:rsidR="00D644E9" w:rsidRDefault="000600CA">
            <w:pPr>
              <w:spacing w:after="0"/>
            </w:pPr>
            <w:r>
              <w:rPr>
                <w:sz w:val="16"/>
              </w:rPr>
              <w:t>RBAC en Foundry</w:t>
            </w:r>
          </w:p>
        </w:tc>
        <w:tc>
          <w:tcPr>
            <w:tcW w:w="9898" w:type="dxa"/>
          </w:tcPr>
          <w:p w14:paraId="0715E63E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https://learn.microsoft.com/en-us/azure/foundry/concepts/rbac-foundry</w:t>
            </w:r>
          </w:p>
        </w:tc>
      </w:tr>
      <w:tr w:rsidR="00D644E9" w14:paraId="32B61F03" w14:textId="77777777">
        <w:trPr>
          <w:cantSplit/>
          <w:jc w:val="center"/>
        </w:trPr>
        <w:tc>
          <w:tcPr>
            <w:tcW w:w="5240" w:type="dxa"/>
          </w:tcPr>
          <w:p w14:paraId="0964BD32" w14:textId="77777777" w:rsidR="00D644E9" w:rsidRDefault="000600CA">
            <w:pPr>
              <w:spacing w:after="0"/>
            </w:pPr>
            <w:r>
              <w:rPr>
                <w:sz w:val="16"/>
              </w:rPr>
              <w:t>Recuperación ante desastres</w:t>
            </w:r>
          </w:p>
        </w:tc>
        <w:tc>
          <w:tcPr>
            <w:tcW w:w="9898" w:type="dxa"/>
          </w:tcPr>
          <w:p w14:paraId="78BAD624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https://learn.microsoft.com/en-us/azure/foundry/how-to/agent-service-disaster-recovery</w:t>
            </w:r>
          </w:p>
        </w:tc>
      </w:tr>
      <w:tr w:rsidR="00D644E9" w14:paraId="3433243B" w14:textId="77777777">
        <w:trPr>
          <w:cantSplit/>
          <w:jc w:val="center"/>
        </w:trPr>
        <w:tc>
          <w:tcPr>
            <w:tcW w:w="5240" w:type="dxa"/>
          </w:tcPr>
          <w:p w14:paraId="0FD07A5A" w14:textId="77777777" w:rsidR="00D644E9" w:rsidRDefault="000600CA">
            <w:pPr>
              <w:spacing w:after="0"/>
            </w:pPr>
            <w:r>
              <w:rPr>
                <w:sz w:val="16"/>
              </w:rPr>
              <w:t>Security trimming en AI Search</w:t>
            </w:r>
          </w:p>
        </w:tc>
        <w:tc>
          <w:tcPr>
            <w:tcW w:w="9898" w:type="dxa"/>
          </w:tcPr>
          <w:p w14:paraId="4BF29461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https://learn.microsoft.com/azure/search/search-security-trimming-for-azure-search</w:t>
            </w:r>
          </w:p>
        </w:tc>
      </w:tr>
      <w:tr w:rsidR="00D644E9" w14:paraId="79DCB748" w14:textId="77777777">
        <w:trPr>
          <w:cantSplit/>
          <w:jc w:val="center"/>
        </w:trPr>
        <w:tc>
          <w:tcPr>
            <w:tcW w:w="5240" w:type="dxa"/>
          </w:tcPr>
          <w:p w14:paraId="2901C0DB" w14:textId="77777777" w:rsidR="00D644E9" w:rsidRDefault="000600CA">
            <w:pPr>
              <w:spacing w:after="0"/>
            </w:pPr>
            <w:r>
              <w:rPr>
                <w:sz w:val="16"/>
              </w:rPr>
              <w:t>Task Adherence (preview)</w:t>
            </w:r>
          </w:p>
        </w:tc>
        <w:tc>
          <w:tcPr>
            <w:tcW w:w="9898" w:type="dxa"/>
          </w:tcPr>
          <w:p w14:paraId="435047BB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https://learn.microsoft.com/en-us/azure/foundry/guardrails/task-adherence</w:t>
            </w:r>
          </w:p>
        </w:tc>
      </w:tr>
      <w:tr w:rsidR="00D644E9" w14:paraId="4CE47333" w14:textId="77777777">
        <w:trPr>
          <w:cantSplit/>
          <w:jc w:val="center"/>
        </w:trPr>
        <w:tc>
          <w:tcPr>
            <w:tcW w:w="5240" w:type="dxa"/>
          </w:tcPr>
          <w:p w14:paraId="23704A02" w14:textId="77777777" w:rsidR="00D644E9" w:rsidRDefault="000600CA">
            <w:pPr>
              <w:spacing w:after="0"/>
            </w:pPr>
            <w:r>
              <w:rPr>
                <w:sz w:val="16"/>
              </w:rPr>
              <w:t>Toolbox</w:t>
            </w:r>
          </w:p>
        </w:tc>
        <w:tc>
          <w:tcPr>
            <w:tcW w:w="9898" w:type="dxa"/>
          </w:tcPr>
          <w:p w14:paraId="25D3E427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https://learn.microsoft.com/en-us/azure/foundry/agents/concepts/toolbox-overview</w:t>
            </w:r>
          </w:p>
        </w:tc>
      </w:tr>
      <w:tr w:rsidR="00D644E9" w14:paraId="2F28C6E5" w14:textId="77777777">
        <w:trPr>
          <w:cantSplit/>
          <w:jc w:val="center"/>
        </w:trPr>
        <w:tc>
          <w:tcPr>
            <w:tcW w:w="5240" w:type="dxa"/>
          </w:tcPr>
          <w:p w14:paraId="73244CDB" w14:textId="77777777" w:rsidR="00D644E9" w:rsidRDefault="000600CA">
            <w:pPr>
              <w:spacing w:after="0"/>
            </w:pPr>
            <w:r>
              <w:rPr>
                <w:sz w:val="16"/>
              </w:rPr>
              <w:t>Trace Replay</w:t>
            </w:r>
          </w:p>
        </w:tc>
        <w:tc>
          <w:tcPr>
            <w:tcW w:w="9898" w:type="dxa"/>
          </w:tcPr>
          <w:p w14:paraId="52A56BE3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https://learn.microsoft.com/en-us/azure/foundry/observability/how-to/trace-agent-replay</w:t>
            </w:r>
          </w:p>
        </w:tc>
      </w:tr>
      <w:tr w:rsidR="00D644E9" w14:paraId="6B4FF813" w14:textId="77777777">
        <w:trPr>
          <w:cantSplit/>
          <w:jc w:val="center"/>
        </w:trPr>
        <w:tc>
          <w:tcPr>
            <w:tcW w:w="5240" w:type="dxa"/>
          </w:tcPr>
          <w:p w14:paraId="4A631A74" w14:textId="77777777" w:rsidR="00D644E9" w:rsidRDefault="000600CA">
            <w:pPr>
              <w:spacing w:after="0"/>
            </w:pPr>
            <w:r>
              <w:rPr>
                <w:sz w:val="16"/>
              </w:rPr>
              <w:t>Trazas de agentes</w:t>
            </w:r>
          </w:p>
        </w:tc>
        <w:tc>
          <w:tcPr>
            <w:tcW w:w="9898" w:type="dxa"/>
          </w:tcPr>
          <w:p w14:paraId="56FAB71F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https://learn.microsoft.com/en-us/azure/foundry/observability/concepts/trace-agent-concept</w:t>
            </w:r>
          </w:p>
        </w:tc>
      </w:tr>
    </w:tbl>
    <w:p w14:paraId="75ECEC9B" w14:textId="77777777" w:rsidR="00D644E9" w:rsidRDefault="00D644E9">
      <w:pPr>
        <w:spacing w:after="40"/>
      </w:pPr>
    </w:p>
    <w:sectPr w:rsidR="00D644E9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6265760">
    <w:abstractNumId w:val="8"/>
  </w:num>
  <w:num w:numId="2" w16cid:durableId="610941429">
    <w:abstractNumId w:val="6"/>
  </w:num>
  <w:num w:numId="3" w16cid:durableId="749738348">
    <w:abstractNumId w:val="5"/>
  </w:num>
  <w:num w:numId="4" w16cid:durableId="1884293430">
    <w:abstractNumId w:val="4"/>
  </w:num>
  <w:num w:numId="5" w16cid:durableId="1469857279">
    <w:abstractNumId w:val="7"/>
  </w:num>
  <w:num w:numId="6" w16cid:durableId="1364596699">
    <w:abstractNumId w:val="3"/>
  </w:num>
  <w:num w:numId="7" w16cid:durableId="360667157">
    <w:abstractNumId w:val="2"/>
  </w:num>
  <w:num w:numId="8" w16cid:durableId="2109350626">
    <w:abstractNumId w:val="1"/>
  </w:num>
  <w:num w:numId="9" w16cid:durableId="1095974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0CA"/>
    <w:rsid w:val="0006063C"/>
    <w:rsid w:val="0015074B"/>
    <w:rsid w:val="0029639D"/>
    <w:rsid w:val="00326F90"/>
    <w:rsid w:val="00486059"/>
    <w:rsid w:val="005F1C69"/>
    <w:rsid w:val="00AA1D8D"/>
    <w:rsid w:val="00B47730"/>
    <w:rsid w:val="00B961CF"/>
    <w:rsid w:val="00CB0664"/>
    <w:rsid w:val="00D644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C5EC846-9334-493F-A08A-7E7D02393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eastAsia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B3C5D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0B3C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0B3C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earn.microsoft.com/en-us/azure/search/search-get-started-rbac" TargetMode="External"/><Relationship Id="rId21" Type="http://schemas.openxmlformats.org/officeDocument/2006/relationships/hyperlink" Target="https://learn.microsoft.com/en-us/azure/foundry/agents/concepts/hosted-agent-permissions" TargetMode="External"/><Relationship Id="rId42" Type="http://schemas.openxmlformats.org/officeDocument/2006/relationships/hyperlink" Target="https://learn.microsoft.com/en-us/azure/foundry/agents/concepts/networking-options" TargetMode="External"/><Relationship Id="rId47" Type="http://schemas.openxmlformats.org/officeDocument/2006/relationships/hyperlink" Target="https://learn.microsoft.com/en-us/azure/foundry/guardrails/intervention-points" TargetMode="External"/><Relationship Id="rId63" Type="http://schemas.openxmlformats.org/officeDocument/2006/relationships/hyperlink" Target="https://learn.microsoft.com/en-us/azure/foundry/observability/how-to/traces-sensitive-content" TargetMode="External"/><Relationship Id="rId68" Type="http://schemas.openxmlformats.org/officeDocument/2006/relationships/hyperlink" Target="https://learn.microsoft.com/en-us/azure/foundry/control-plane/how-to-enforce-limits-models" TargetMode="External"/><Relationship Id="rId84" Type="http://schemas.openxmlformats.org/officeDocument/2006/relationships/hyperlink" Target="https://learn.microsoft.com/en-us/azure/foundry/responsible-ai/agents/transparency-note" TargetMode="External"/><Relationship Id="rId89" Type="http://schemas.openxmlformats.org/officeDocument/2006/relationships/hyperlink" Target="https://learn.microsoft.com/en-us/azure/foundry/agents/how-to/manage-hosted-agent" TargetMode="External"/><Relationship Id="rId16" Type="http://schemas.openxmlformats.org/officeDocument/2006/relationships/hyperlink" Target="https://learn.microsoft.com/en-us/azure/foundry/agents/concepts/hosted-agent-permissions" TargetMode="External"/><Relationship Id="rId11" Type="http://schemas.openxmlformats.org/officeDocument/2006/relationships/hyperlink" Target="https://learn.microsoft.com/en-us/azure/foundry/agents/concepts/hosted-agents" TargetMode="External"/><Relationship Id="rId32" Type="http://schemas.openxmlformats.org/officeDocument/2006/relationships/hyperlink" Target="https://learn.microsoft.com/en-us/azure/foundry/agents/concepts/what-is-memory" TargetMode="External"/><Relationship Id="rId37" Type="http://schemas.openxmlformats.org/officeDocument/2006/relationships/hyperlink" Target="https://learn.microsoft.com/en-us/azure/foundry/agents/concepts/tool-best-practice" TargetMode="External"/><Relationship Id="rId53" Type="http://schemas.openxmlformats.org/officeDocument/2006/relationships/hyperlink" Target="https://learn.microsoft.com/en-us/azure/foundry/concepts/evaluation-overview" TargetMode="External"/><Relationship Id="rId58" Type="http://schemas.openxmlformats.org/officeDocument/2006/relationships/hyperlink" Target="https://learn.microsoft.com/en-us/azure/foundry/how-to/evaluation-azure-devops" TargetMode="External"/><Relationship Id="rId74" Type="http://schemas.openxmlformats.org/officeDocument/2006/relationships/hyperlink" Target="https://learn.microsoft.com/en-us/azure/foundry/concepts/manage-costs" TargetMode="External"/><Relationship Id="rId79" Type="http://schemas.openxmlformats.org/officeDocument/2006/relationships/hyperlink" Target="https://learn.microsoft.com/en-us/azure/foundry/how-to/disable-preview-features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learn.microsoft.com/en-us/azure/foundry/agents/how-to/add-human-in-the-loop" TargetMode="External"/><Relationship Id="rId95" Type="http://schemas.openxmlformats.org/officeDocument/2006/relationships/fontTable" Target="fontTable.xml"/><Relationship Id="rId22" Type="http://schemas.openxmlformats.org/officeDocument/2006/relationships/hyperlink" Target="https://learn.microsoft.com/en-us/azure/foundry/agents/how-to/multiplex-session-users" TargetMode="External"/><Relationship Id="rId27" Type="http://schemas.openxmlformats.org/officeDocument/2006/relationships/hyperlink" Target="https://learn.microsoft.com/en-us/azure/architecture/ai-ml/guide/secure-multitenant-rag" TargetMode="External"/><Relationship Id="rId43" Type="http://schemas.openxmlformats.org/officeDocument/2006/relationships/hyperlink" Target="https://learn.microsoft.com/en-us/azure/foundry/agents/concepts/tool-best-practice" TargetMode="External"/><Relationship Id="rId48" Type="http://schemas.openxmlformats.org/officeDocument/2006/relationships/hyperlink" Target="https://learn.microsoft.com/en-us/azure/foundry/agents/how-to/add-hosted-agent-guardrails" TargetMode="External"/><Relationship Id="rId64" Type="http://schemas.openxmlformats.org/officeDocument/2006/relationships/hyperlink" Target="https://learn.microsoft.com/en-us/azure/foundry/observability/how-to/how-to-monitor-agents-dashboard" TargetMode="External"/><Relationship Id="rId69" Type="http://schemas.openxmlformats.org/officeDocument/2006/relationships/hyperlink" Target="https://learn.microsoft.com/en-us/azure/architecture/ai-ml/guide/generative-ai-gateway" TargetMode="External"/><Relationship Id="rId8" Type="http://schemas.openxmlformats.org/officeDocument/2006/relationships/hyperlink" Target="https://learn.microsoft.com/en-us/azure/foundry/agents/overview" TargetMode="External"/><Relationship Id="rId51" Type="http://schemas.openxmlformats.org/officeDocument/2006/relationships/hyperlink" Target="https://learn.microsoft.com/en-us/azure/foundry/concepts/built-in-evaluators" TargetMode="External"/><Relationship Id="rId72" Type="http://schemas.openxmlformats.org/officeDocument/2006/relationships/hyperlink" Target="https://learn.microsoft.com/en-us/azure/architecture/ai-ml/guide/generative-ai-gateway" TargetMode="External"/><Relationship Id="rId80" Type="http://schemas.openxmlformats.org/officeDocument/2006/relationships/hyperlink" Target="https://learn.microsoft.com/en-us/azure/foundry/responsible-ai/agents/data-privacy-security" TargetMode="External"/><Relationship Id="rId85" Type="http://schemas.openxmlformats.org/officeDocument/2006/relationships/hyperlink" Target="https://learn.microsoft.com/en-us/azure/foundry/concepts/evaluation-overview" TargetMode="External"/><Relationship Id="rId93" Type="http://schemas.openxmlformats.org/officeDocument/2006/relationships/hyperlink" Target="https://learn.microsoft.com/en-us/azure/foundry/agents/concepts/limits-quotas-regions" TargetMode="External"/><Relationship Id="rId3" Type="http://schemas.openxmlformats.org/officeDocument/2006/relationships/styles" Target="styles.xml"/><Relationship Id="rId12" Type="http://schemas.openxmlformats.org/officeDocument/2006/relationships/hyperlink" Target="https://learn.microsoft.com/en-us/azure/foundry/how-to/agent-service-disaster-recovery" TargetMode="External"/><Relationship Id="rId17" Type="http://schemas.openxmlformats.org/officeDocument/2006/relationships/hyperlink" Target="https://learn.microsoft.com/en-us/azure/foundry/agents/how-to/use-on-behalf-of-flow" TargetMode="External"/><Relationship Id="rId25" Type="http://schemas.openxmlformats.org/officeDocument/2006/relationships/hyperlink" Target="https://learn.microsoft.com/azure/search/search-security-trimming-for-azure-search" TargetMode="External"/><Relationship Id="rId33" Type="http://schemas.openxmlformats.org/officeDocument/2006/relationships/hyperlink" Target="https://learn.microsoft.com/en-us/azure/foundry/agents/concepts/agent-state-store" TargetMode="External"/><Relationship Id="rId38" Type="http://schemas.openxmlformats.org/officeDocument/2006/relationships/hyperlink" Target="https://learn.microsoft.com/en-us/azure/foundry/agents/how-to/tools/model-context-protocol" TargetMode="External"/><Relationship Id="rId46" Type="http://schemas.openxmlformats.org/officeDocument/2006/relationships/hyperlink" Target="https://learn.microsoft.com/en-us/azure/foundry/guardrails/guardrails-overview" TargetMode="External"/><Relationship Id="rId59" Type="http://schemas.openxmlformats.org/officeDocument/2006/relationships/hyperlink" Target="https://learn.microsoft.com/en-us/azure/foundry/agents/concepts/hosted-agents" TargetMode="External"/><Relationship Id="rId67" Type="http://schemas.openxmlformats.org/officeDocument/2006/relationships/hyperlink" Target="https://learn.microsoft.com/en-us/azure/foundry/concepts/ai-red-teaming-agent" TargetMode="External"/><Relationship Id="rId20" Type="http://schemas.openxmlformats.org/officeDocument/2006/relationships/hyperlink" Target="https://learn.microsoft.com/en-us/azure/foundry/agents/how-to/isolate-sessions-per-user" TargetMode="External"/><Relationship Id="rId41" Type="http://schemas.openxmlformats.org/officeDocument/2006/relationships/hyperlink" Target="https://learn.microsoft.com/en-us/azure/foundry/agents/how-to/add-hosted-agent-guardrails" TargetMode="External"/><Relationship Id="rId54" Type="http://schemas.openxmlformats.org/officeDocument/2006/relationships/hyperlink" Target="https://learn.microsoft.com/en-us/azure/foundry/concepts/built-in-evaluators" TargetMode="External"/><Relationship Id="rId62" Type="http://schemas.openxmlformats.org/officeDocument/2006/relationships/hyperlink" Target="https://learn.microsoft.com/en-us/azure/foundry/agents/concepts/hosted-agents" TargetMode="External"/><Relationship Id="rId70" Type="http://schemas.openxmlformats.org/officeDocument/2006/relationships/hyperlink" Target="https://learn.microsoft.com/en-us/azure/foundry/agents/concepts/hosted-agents" TargetMode="External"/><Relationship Id="rId75" Type="http://schemas.openxmlformats.org/officeDocument/2006/relationships/hyperlink" Target="https://learn.microsoft.com/en-us/azure/foundry/control-plane/how-to-enforce-limits-models" TargetMode="External"/><Relationship Id="rId83" Type="http://schemas.openxmlformats.org/officeDocument/2006/relationships/hyperlink" Target="https://learn.microsoft.com/en-us/azure/foundry/guardrails/guardrails-overview" TargetMode="External"/><Relationship Id="rId88" Type="http://schemas.openxmlformats.org/officeDocument/2006/relationships/hyperlink" Target="https://learn.microsoft.com/en-us/azure/foundry/agents/how-to/cancel-hosted-agent-turn" TargetMode="External"/><Relationship Id="rId91" Type="http://schemas.openxmlformats.org/officeDocument/2006/relationships/hyperlink" Target="https://github.com/MicrosoftLearning/mslearn-ai-multi-agents" TargetMode="External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en-us/azure/architecture/ai-ml/guide/ai-agent-design-patterns" TargetMode="External"/><Relationship Id="rId15" Type="http://schemas.openxmlformats.org/officeDocument/2006/relationships/hyperlink" Target="https://learn.microsoft.com/en-us/azure/foundry/concepts/rbac-foundry" TargetMode="External"/><Relationship Id="rId23" Type="http://schemas.openxmlformats.org/officeDocument/2006/relationships/hyperlink" Target="https://learn.microsoft.com/en-us/azure/foundry/agents/how-to/mcp-authentication" TargetMode="External"/><Relationship Id="rId28" Type="http://schemas.openxmlformats.org/officeDocument/2006/relationships/hyperlink" Target="https://learn.microsoft.com/en-us/azure/foundry/agents/how-to/multiplex-session-users" TargetMode="External"/><Relationship Id="rId36" Type="http://schemas.openxmlformats.org/officeDocument/2006/relationships/hyperlink" Target="https://learn.microsoft.com/en-us/azure/architecture/ai-ml/guide/generative-ai-gateway" TargetMode="External"/><Relationship Id="rId49" Type="http://schemas.openxmlformats.org/officeDocument/2006/relationships/hyperlink" Target="https://learn.microsoft.com/en-us/azure/foundry/openai/concepts/content-filter-prompt-shields" TargetMode="External"/><Relationship Id="rId57" Type="http://schemas.openxmlformats.org/officeDocument/2006/relationships/hyperlink" Target="https://learn.microsoft.com/en-us/azure/foundry/how-to/evaluation-github-action" TargetMode="External"/><Relationship Id="rId10" Type="http://schemas.openxmlformats.org/officeDocument/2006/relationships/hyperlink" Target="https://learn.microsoft.com/en-us/azure/foundry/agents/how-to/multiplex-session-users" TargetMode="External"/><Relationship Id="rId31" Type="http://schemas.openxmlformats.org/officeDocument/2006/relationships/hyperlink" Target="https://learn.microsoft.com/en-us/azure/foundry/concepts/built-in-evaluators" TargetMode="External"/><Relationship Id="rId44" Type="http://schemas.openxmlformats.org/officeDocument/2006/relationships/hyperlink" Target="https://learn.microsoft.com/en-us/azure/foundry/agents/concepts/agent-to-agent-authentication" TargetMode="External"/><Relationship Id="rId52" Type="http://schemas.openxmlformats.org/officeDocument/2006/relationships/hyperlink" Target="https://learn.microsoft.com/en-us/azure/foundry/concepts/ai-red-teaming-agent" TargetMode="External"/><Relationship Id="rId60" Type="http://schemas.openxmlformats.org/officeDocument/2006/relationships/hyperlink" Target="https://learn.microsoft.com/en-us/azure/foundry/agents/how-to/manage-hosted-agent" TargetMode="External"/><Relationship Id="rId65" Type="http://schemas.openxmlformats.org/officeDocument/2006/relationships/hyperlink" Target="https://learn.microsoft.com/en-us/azure/foundry/concepts/general-availability" TargetMode="External"/><Relationship Id="rId73" Type="http://schemas.openxmlformats.org/officeDocument/2006/relationships/hyperlink" Target="https://github.com/Azure-Samples/AI-Gateway" TargetMode="External"/><Relationship Id="rId78" Type="http://schemas.openxmlformats.org/officeDocument/2006/relationships/hyperlink" Target="https://learn.microsoft.com/en-us/azure/foundry/concepts/general-availability" TargetMode="External"/><Relationship Id="rId81" Type="http://schemas.openxmlformats.org/officeDocument/2006/relationships/hyperlink" Target="https://learn.microsoft.com/en-us/azure/foundry/agents/concepts/limits-quotas-regions" TargetMode="External"/><Relationship Id="rId86" Type="http://schemas.openxmlformats.org/officeDocument/2006/relationships/hyperlink" Target="https://github.com/MicrosoftLearning/mslearn-ai-multi-agents" TargetMode="External"/><Relationship Id="rId94" Type="http://schemas.openxmlformats.org/officeDocument/2006/relationships/hyperlink" Target="https://github.com/MicrosoftLearning/mslearn-ai-multi-agen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azure/foundry/agents/concepts/limits-quotas-regions" TargetMode="External"/><Relationship Id="rId13" Type="http://schemas.openxmlformats.org/officeDocument/2006/relationships/hyperlink" Target="https://learn.microsoft.com/en-us/azure/foundry/how-to/high-availability-resiliency" TargetMode="External"/><Relationship Id="rId18" Type="http://schemas.openxmlformats.org/officeDocument/2006/relationships/hyperlink" Target="https://learn.microsoft.com/en-us/azure/foundry/agents/concepts/agent-identity" TargetMode="External"/><Relationship Id="rId39" Type="http://schemas.openxmlformats.org/officeDocument/2006/relationships/hyperlink" Target="https://learn.microsoft.com/en-us/azure/foundry/agents/how-to/add-human-in-the-loop" TargetMode="External"/><Relationship Id="rId34" Type="http://schemas.openxmlformats.org/officeDocument/2006/relationships/hyperlink" Target="https://learn.microsoft.com/en-us/azure/foundry/agents/concepts/toolbox-overview" TargetMode="External"/><Relationship Id="rId50" Type="http://schemas.openxmlformats.org/officeDocument/2006/relationships/hyperlink" Target="https://learn.microsoft.com/en-us/azure/foundry/guardrails/task-adherence" TargetMode="External"/><Relationship Id="rId55" Type="http://schemas.openxmlformats.org/officeDocument/2006/relationships/hyperlink" Target="https://learn.microsoft.com/en-us/azure/foundry/concepts/general-availability" TargetMode="External"/><Relationship Id="rId76" Type="http://schemas.openxmlformats.org/officeDocument/2006/relationships/hyperlink" Target="https://learn.microsoft.com/en-us/azure/foundry/control-plane/overview" TargetMode="External"/><Relationship Id="rId7" Type="http://schemas.openxmlformats.org/officeDocument/2006/relationships/hyperlink" Target="https://learn.microsoft.com/en-us/azure/foundry/agents/concepts/hosted-agents" TargetMode="External"/><Relationship Id="rId71" Type="http://schemas.openxmlformats.org/officeDocument/2006/relationships/hyperlink" Target="https://learn.microsoft.com/en-us/azure/foundry/concepts/manage-costs" TargetMode="External"/><Relationship Id="rId92" Type="http://schemas.openxmlformats.org/officeDocument/2006/relationships/hyperlink" Target="https://learn.microsoft.com/en-us/azure/foundry/observability/how-to/trace-agent-replay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learn.microsoft.com/en-us/azure/foundry/agents/how-to/isolate-sessions-per-user" TargetMode="External"/><Relationship Id="rId24" Type="http://schemas.openxmlformats.org/officeDocument/2006/relationships/hyperlink" Target="https://learn.microsoft.com/en-us/azure/foundry/agents/concepts/agent-to-agent-authentication" TargetMode="External"/><Relationship Id="rId40" Type="http://schemas.openxmlformats.org/officeDocument/2006/relationships/hyperlink" Target="https://learn.microsoft.com/en-us/azure/foundry/agents/concepts/tool-best-practice" TargetMode="External"/><Relationship Id="rId45" Type="http://schemas.openxmlformats.org/officeDocument/2006/relationships/hyperlink" Target="https://learn.microsoft.com/en-us/azure/foundry/agents/how-to/tools/agent-to-agent" TargetMode="External"/><Relationship Id="rId66" Type="http://schemas.openxmlformats.org/officeDocument/2006/relationships/hyperlink" Target="https://learn.microsoft.com/en-us/azure/foundry/observability/how-to/how-to-monitor-agents-dashboard" TargetMode="External"/><Relationship Id="rId87" Type="http://schemas.openxmlformats.org/officeDocument/2006/relationships/hyperlink" Target="https://learn.microsoft.com/en-us/azure/foundry/agents/how-to/manage-hosted-sessions" TargetMode="External"/><Relationship Id="rId61" Type="http://schemas.openxmlformats.org/officeDocument/2006/relationships/hyperlink" Target="https://learn.microsoft.com/en-us/azure/foundry/observability/concepts/trace-agent-concept" TargetMode="External"/><Relationship Id="rId82" Type="http://schemas.openxmlformats.org/officeDocument/2006/relationships/hyperlink" Target="https://learn.microsoft.com/en-us/azure/foundry/control-plane/how-to-manage-compliance-security" TargetMode="External"/><Relationship Id="rId19" Type="http://schemas.openxmlformats.org/officeDocument/2006/relationships/hyperlink" Target="https://learn.microsoft.com/en-us/azure/foundry/agents/how-to/multiplex-session-users" TargetMode="External"/><Relationship Id="rId14" Type="http://schemas.openxmlformats.org/officeDocument/2006/relationships/hyperlink" Target="https://learn.microsoft.com/en-us/azure/foundry/agents/concepts/agent-identity" TargetMode="External"/><Relationship Id="rId30" Type="http://schemas.openxmlformats.org/officeDocument/2006/relationships/hyperlink" Target="https://learn.microsoft.com/en-us/azure/architecture/ai-ml/guide/rag/rag-llm-evaluation-phase" TargetMode="External"/><Relationship Id="rId35" Type="http://schemas.openxmlformats.org/officeDocument/2006/relationships/hyperlink" Target="https://learn.microsoft.com/en-us/azure/foundry/agents/concepts/tool-best-practice" TargetMode="External"/><Relationship Id="rId56" Type="http://schemas.openxmlformats.org/officeDocument/2006/relationships/hyperlink" Target="https://learn.microsoft.com/en-us/azure/foundry/agents/how-to/set-up-ci-cd-cli" TargetMode="External"/><Relationship Id="rId77" Type="http://schemas.openxmlformats.org/officeDocument/2006/relationships/hyperlink" Target="https://learn.microsoft.com/en-us/azure/foundry/control-plane/how-to-manage-compliance-secur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5974</Words>
  <Characters>34057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2026-10-21T18:52:00Z</dcterms:modified>
  <cp:category/>
</cp:coreProperties>
</file>