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CÁLCULOS Y SUSTENTACIÓN TÉCNICA</w:t>
      </w:r>
    </w:p>
    <w:p>
      <w:pPr>
        <w:jc w:val="center"/>
      </w:pPr>
      <w:r>
        <w:rPr>
          <w:b/>
          <w:sz w:val="28"/>
        </w:rPr>
        <w:t>CubeSat 1U – Monitoreo multiespectral de cultivos de café</w:t>
      </w:r>
    </w:p>
    <w:p>
      <w:pPr>
        <w:jc w:val="center"/>
      </w:pPr>
      <w:r>
        <w:rPr>
          <w:i/>
        </w:rPr>
        <w:t>Laboratorio 3 – Requisitos, especificaciones y arquitectura</w:t>
      </w:r>
    </w:p>
    <w:p>
      <w:pPr>
        <w:pStyle w:val="Heading1"/>
      </w:pPr>
      <w:r>
        <w:t>1. Objetivo del documento</w:t>
      </w:r>
    </w:p>
    <w:p>
      <w:r>
        <w:t>Este documento reúne los cálculos utilizados para justificar decisiones, relaciones de dimensionamiento y estimaciones preliminares del proyecto. Se ha revisado contra la versión definitiva de la matriz y se separan explícitamente los cálculos que permanecen abiertos de los cálculos exploratorios que no deben interpretarse como valores finales.</w:t>
      </w:r>
    </w:p>
    <w:p>
      <w:r>
        <w:t>La guía solicita que los presupuestos sean consistentes y sustentados y que se entregue cualquier cálculo adicional utilizado para justificar decisiones. Por ello, las ecuaciones de datos, almacenamiento, comunicaciones, potencia, energía, masa, volumen y procesamiento se documentan aquí junto con su trazabilidad.</w:t>
      </w:r>
    </w:p>
    <w:p>
      <w:pPr>
        <w:pStyle w:val="Heading1"/>
      </w:pPr>
      <w:r>
        <w:t>2. Criterio de cierre y control de versiones</w:t>
      </w:r>
    </w:p>
    <w:p>
      <w:r>
        <w:t>La versión definitiva de la matriz mantiene como TBD los parámetros que todavía dependen de la selección de componentes, del plan de observación, del enlace o de la arquitectura detallada. No se introducen valores externos para forzar el cierre de esos parámetros.</w:t>
      </w:r>
    </w:p>
    <w:p>
      <w:r>
        <w:t>Una consecuencia importante de la revisión es que la sustentación anterior no debe presentarse como si 30 m/píxel, las bandas rojo/NIR, 16 bits por muestra o 2.765 MB/imagen fueran especificaciones definitivas. Esos valores se conservan únicamente como cálculos exploratorios auditados, porque la matriz definitiva mantiene ET-02, ET-06 y ET-41–ET-43 abiertos.</w:t>
      </w:r>
    </w:p>
    <w:p>
      <w:pPr>
        <w:pStyle w:val="Heading1"/>
      </w:pPr>
      <w:r>
        <w:t>3. Cadena de cálculo de la arquitectura</w:t>
      </w:r>
    </w:p>
    <w:p>
      <w:r>
        <w:t>La cadena de dependencia utilizada es:</w:t>
      </w:r>
    </w:p>
    <w:p>
      <w:pPr>
        <w:jc w:val="center"/>
      </w:pPr>
      <w:r>
        <w:rPr>
          <w:b/>
        </w:rPr>
        <w:t>Payload → datos por adquisición → almacenamiento → tiempo de contacto → tasa de bajada → potencia/energía → EPS/batería → procesamiento e interfaces</w:t>
      </w:r>
    </w:p>
    <w:p>
      <w:r>
        <w:t>Esto evita seleccionar memoria, radio, batería u OBC de manera independiente. Los cálculos posteriores deben alimentar las decisiones de arquitectura y mantenerse trazables a las especificaciones correspondientes.</w:t>
      </w:r>
    </w:p>
    <w:p>
      <w:pPr>
        <w:pStyle w:val="Heading1"/>
      </w:pPr>
      <w:r>
        <w:t>4. Cálculos de presupuesto — versión definitiva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t>ID</w:t>
            </w:r>
          </w:p>
        </w:tc>
        <w:tc>
          <w:tcPr>
            <w:tcW w:type="dxa" w:w="1680"/>
            <w:vAlign w:val="center"/>
          </w:tcPr>
          <w:p>
            <w:r>
              <w:t>Magnitud</w:t>
            </w:r>
          </w:p>
        </w:tc>
        <w:tc>
          <w:tcPr>
            <w:tcW w:type="dxa" w:w="1680"/>
            <w:vAlign w:val="center"/>
          </w:tcPr>
          <w:p>
            <w:r>
              <w:t>Ecuación</w:t>
            </w:r>
          </w:p>
        </w:tc>
        <w:tc>
          <w:tcPr>
            <w:tcW w:type="dxa" w:w="1680"/>
            <w:vAlign w:val="center"/>
          </w:tcPr>
          <w:p>
            <w:r>
              <w:t>Resultado</w:t>
            </w:r>
          </w:p>
        </w:tc>
        <w:tc>
          <w:tcPr>
            <w:tcW w:type="dxa" w:w="1680"/>
            <w:vAlign w:val="center"/>
          </w:tcPr>
          <w:p>
            <w:r>
              <w:t>Trazabilidad</w:t>
            </w:r>
          </w:p>
        </w:tc>
        <w:tc>
          <w:tcPr>
            <w:tcW w:type="dxa" w:w="1680"/>
            <w:vAlign w:val="center"/>
          </w:tcPr>
          <w:p>
            <w:r>
              <w:t>Criterio de cierre</w:t>
            </w:r>
          </w:p>
        </w:tc>
      </w:tr>
      <w:tr>
        <w:tc>
          <w:tcPr>
            <w:tcW w:type="dxa" w:w="1680"/>
            <w:vAlign w:val="top"/>
          </w:tcPr>
          <w:p>
            <w:r>
              <w:t>CALC-01</w:t>
            </w:r>
          </w:p>
        </w:tc>
        <w:tc>
          <w:tcPr>
            <w:tcW w:type="dxa" w:w="1680"/>
            <w:vAlign w:val="top"/>
          </w:tcPr>
          <w:p>
            <w:r>
              <w:t>Datos por imagen</w:t>
            </w:r>
          </w:p>
        </w:tc>
        <w:tc>
          <w:tcPr>
            <w:tcW w:type="dxa" w:w="1680"/>
            <w:vAlign w:val="top"/>
          </w:tcPr>
          <w:p>
            <w:r>
              <w:t>D_img = N_x × N_y × N_bandas × bits/muestra ÷ 8</w:t>
            </w:r>
          </w:p>
        </w:tc>
        <w:tc>
          <w:tcPr>
            <w:tcW w:type="dxa" w:w="1680"/>
            <w:vAlign w:val="top"/>
          </w:tcPr>
          <w:p>
            <w:r>
              <w:t>TBD</w:t>
            </w:r>
          </w:p>
        </w:tc>
        <w:tc>
          <w:tcPr>
            <w:tcW w:type="dxa" w:w="1680"/>
            <w:vAlign w:val="top"/>
          </w:tcPr>
          <w:p>
            <w:r>
              <w:t>ET-06</w:t>
            </w:r>
          </w:p>
        </w:tc>
        <w:tc>
          <w:tcPr>
            <w:tcW w:type="dxa" w:w="1680"/>
            <w:vAlign w:val="top"/>
          </w:tcPr>
          <w:p>
            <w:r>
              <w:t>La resolución del sensor, bandas, profundidad radiométrica, formato y eventual compresión todavía deben cerrarse.</w:t>
            </w:r>
          </w:p>
        </w:tc>
      </w:tr>
      <w:tr>
        <w:tc>
          <w:tcPr>
            <w:tcW w:type="dxa" w:w="1680"/>
            <w:vAlign w:val="top"/>
          </w:tcPr>
          <w:p>
            <w:r>
              <w:t>CALC-02</w:t>
            </w:r>
          </w:p>
        </w:tc>
        <w:tc>
          <w:tcPr>
            <w:tcW w:type="dxa" w:w="1680"/>
            <w:vAlign w:val="top"/>
          </w:tcPr>
          <w:p>
            <w:r>
              <w:t>Capacidad de almacenamiento</w:t>
            </w:r>
          </w:p>
        </w:tc>
        <w:tc>
          <w:tcPr>
            <w:tcW w:type="dxa" w:w="1680"/>
            <w:vAlign w:val="top"/>
          </w:tcPr>
          <w:p>
            <w:r>
              <w:t>S_req ≥ D_img × N_capturas_entre_descargas + datos_aux + margen</w:t>
            </w:r>
          </w:p>
        </w:tc>
        <w:tc>
          <w:tcPr>
            <w:tcW w:type="dxa" w:w="1680"/>
            <w:vAlign w:val="top"/>
          </w:tcPr>
          <w:p>
            <w:r>
              <w:t>TBD</w:t>
            </w:r>
          </w:p>
        </w:tc>
        <w:tc>
          <w:tcPr>
            <w:tcW w:type="dxa" w:w="1680"/>
            <w:vAlign w:val="top"/>
          </w:tcPr>
          <w:p>
            <w:r>
              <w:t>ET-07</w:t>
            </w:r>
          </w:p>
        </w:tc>
        <w:tc>
          <w:tcPr>
            <w:tcW w:type="dxa" w:w="1680"/>
            <w:vAlign w:val="top"/>
          </w:tcPr>
          <w:p>
            <w:r>
              <w:t>No se fija capacidad hasta conocer el volumen por imagen y el número máximo de adquisiciones entre descargas.</w:t>
            </w:r>
          </w:p>
        </w:tc>
      </w:tr>
      <w:tr>
        <w:tc>
          <w:tcPr>
            <w:tcW w:type="dxa" w:w="1680"/>
            <w:vAlign w:val="top"/>
          </w:tcPr>
          <w:p>
            <w:r>
              <w:t>CALC-03</w:t>
            </w:r>
          </w:p>
        </w:tc>
        <w:tc>
          <w:tcPr>
            <w:tcW w:type="dxa" w:w="1680"/>
            <w:vAlign w:val="top"/>
          </w:tcPr>
          <w:p>
            <w:r>
              <w:t>Tasa mínima de bajada</w:t>
            </w:r>
          </w:p>
        </w:tc>
        <w:tc>
          <w:tcPr>
            <w:tcW w:type="dxa" w:w="1680"/>
            <w:vAlign w:val="top"/>
          </w:tcPr>
          <w:p>
            <w:r>
              <w:t>R_min ≥ D_acumulados / t_contacto; posteriormente se incorporan eficiencia y margen</w:t>
            </w:r>
          </w:p>
        </w:tc>
        <w:tc>
          <w:tcPr>
            <w:tcW w:type="dxa" w:w="1680"/>
            <w:vAlign w:val="top"/>
          </w:tcPr>
          <w:p>
            <w:r>
              <w:t>TBD</w:t>
            </w:r>
          </w:p>
        </w:tc>
        <w:tc>
          <w:tcPr>
            <w:tcW w:type="dxa" w:w="1680"/>
            <w:vAlign w:val="top"/>
          </w:tcPr>
          <w:p>
            <w:r>
              <w:t>ET-10</w:t>
            </w:r>
          </w:p>
        </w:tc>
        <w:tc>
          <w:tcPr>
            <w:tcW w:type="dxa" w:w="1680"/>
            <w:vAlign w:val="top"/>
          </w:tcPr>
          <w:p>
            <w:r>
              <w:t>Depende del volumen acumulado y de la duración efectiva de los pases sobre Medellín.</w:t>
            </w:r>
          </w:p>
        </w:tc>
      </w:tr>
      <w:tr>
        <w:tc>
          <w:tcPr>
            <w:tcW w:type="dxa" w:w="1680"/>
            <w:vAlign w:val="top"/>
          </w:tcPr>
          <w:p>
            <w:r>
              <w:t>CALC-04</w:t>
            </w:r>
          </w:p>
        </w:tc>
        <w:tc>
          <w:tcPr>
            <w:tcW w:type="dxa" w:w="1680"/>
            <w:vAlign w:val="top"/>
          </w:tcPr>
          <w:p>
            <w:r>
              <w:t>Potencia total</w:t>
            </w:r>
          </w:p>
        </w:tc>
        <w:tc>
          <w:tcPr>
            <w:tcW w:type="dxa" w:w="1680"/>
            <w:vAlign w:val="top"/>
          </w:tcPr>
          <w:p>
            <w:r>
              <w:t>P_total = Σ P_subsistemas + pérdidas + margen</w:t>
            </w:r>
          </w:p>
        </w:tc>
        <w:tc>
          <w:tcPr>
            <w:tcW w:type="dxa" w:w="1680"/>
            <w:vAlign w:val="top"/>
          </w:tcPr>
          <w:p>
            <w:r>
              <w:t>TBD</w:t>
            </w:r>
          </w:p>
        </w:tc>
        <w:tc>
          <w:tcPr>
            <w:tcW w:type="dxa" w:w="1680"/>
            <w:vAlign w:val="top"/>
          </w:tcPr>
          <w:p>
            <w:r>
              <w:t>ET-36 / ET-37</w:t>
            </w:r>
          </w:p>
        </w:tc>
        <w:tc>
          <w:tcPr>
            <w:tcW w:type="dxa" w:w="1680"/>
            <w:vAlign w:val="top"/>
          </w:tcPr>
          <w:p>
            <w:r>
              <w:t>No se adopta como consumo final ninguna cifra de una etapa anterior.</w:t>
            </w:r>
          </w:p>
        </w:tc>
      </w:tr>
      <w:tr>
        <w:tc>
          <w:tcPr>
            <w:tcW w:type="dxa" w:w="1680"/>
            <w:vAlign w:val="top"/>
          </w:tcPr>
          <w:p>
            <w:r>
              <w:t>CALC-05</w:t>
            </w:r>
          </w:p>
        </w:tc>
        <w:tc>
          <w:tcPr>
            <w:tcW w:type="dxa" w:w="1680"/>
            <w:vAlign w:val="top"/>
          </w:tcPr>
          <w:p>
            <w:r>
              <w:t>Energía por modo</w:t>
            </w:r>
          </w:p>
        </w:tc>
        <w:tc>
          <w:tcPr>
            <w:tcW w:type="dxa" w:w="1680"/>
            <w:vAlign w:val="top"/>
          </w:tcPr>
          <w:p>
            <w:r>
              <w:t>E_modo = P_modo × t_modo</w:t>
            </w:r>
          </w:p>
        </w:tc>
        <w:tc>
          <w:tcPr>
            <w:tcW w:type="dxa" w:w="1680"/>
            <w:vAlign w:val="top"/>
          </w:tcPr>
          <w:p>
            <w:r>
              <w:t>TBD</w:t>
            </w:r>
          </w:p>
        </w:tc>
        <w:tc>
          <w:tcPr>
            <w:tcW w:type="dxa" w:w="1680"/>
            <w:vAlign w:val="top"/>
          </w:tcPr>
          <w:p>
            <w:r>
              <w:t>ET-11 / ET-37</w:t>
            </w:r>
          </w:p>
        </w:tc>
        <w:tc>
          <w:tcPr>
            <w:tcW w:type="dxa" w:w="1680"/>
            <w:vAlign w:val="top"/>
          </w:tcPr>
          <w:p>
            <w:r>
              <w:t>Se requiere el perfil de potencia y duración de cada modo operativo.</w:t>
            </w:r>
          </w:p>
        </w:tc>
      </w:tr>
      <w:tr>
        <w:tc>
          <w:tcPr>
            <w:tcW w:type="dxa" w:w="1680"/>
            <w:vAlign w:val="top"/>
          </w:tcPr>
          <w:p>
            <w:r>
              <w:t>CALC-06</w:t>
            </w:r>
          </w:p>
        </w:tc>
        <w:tc>
          <w:tcPr>
            <w:tcW w:type="dxa" w:w="1680"/>
            <w:vAlign w:val="top"/>
          </w:tcPr>
          <w:p>
            <w:r>
              <w:t>Batería utilizable</w:t>
            </w:r>
          </w:p>
        </w:tc>
        <w:tc>
          <w:tcPr>
            <w:tcW w:type="dxa" w:w="1680"/>
            <w:vAlign w:val="top"/>
          </w:tcPr>
          <w:p>
            <w:r>
              <w:t>E_bat,usable ≥ E_eclipse + margen</w:t>
            </w:r>
          </w:p>
        </w:tc>
        <w:tc>
          <w:tcPr>
            <w:tcW w:type="dxa" w:w="1680"/>
            <w:vAlign w:val="top"/>
          </w:tcPr>
          <w:p>
            <w:r>
              <w:t>TBD</w:t>
            </w:r>
          </w:p>
        </w:tc>
        <w:tc>
          <w:tcPr>
            <w:tcW w:type="dxa" w:w="1680"/>
            <w:vAlign w:val="top"/>
          </w:tcPr>
          <w:p>
            <w:r>
              <w:t>ET-11 / ET-37</w:t>
            </w:r>
          </w:p>
        </w:tc>
        <w:tc>
          <w:tcPr>
            <w:tcW w:type="dxa" w:w="1680"/>
            <w:vAlign w:val="top"/>
          </w:tcPr>
          <w:p>
            <w:r>
              <w:t>Debe incorporar demanda durante eclipse, eficiencia, profundidad de descarga y margen definido.</w:t>
            </w:r>
          </w:p>
        </w:tc>
      </w:tr>
      <w:tr>
        <w:tc>
          <w:tcPr>
            <w:tcW w:type="dxa" w:w="1680"/>
            <w:vAlign w:val="top"/>
          </w:tcPr>
          <w:p>
            <w:r>
              <w:t>CALC-07</w:t>
            </w:r>
          </w:p>
        </w:tc>
        <w:tc>
          <w:tcPr>
            <w:tcW w:type="dxa" w:w="1680"/>
            <w:vAlign w:val="top"/>
          </w:tcPr>
          <w:p>
            <w:r>
              <w:t>Masa total</w:t>
            </w:r>
          </w:p>
        </w:tc>
        <w:tc>
          <w:tcPr>
            <w:tcW w:type="dxa" w:w="1680"/>
            <w:vAlign w:val="top"/>
          </w:tcPr>
          <w:p>
            <w:r>
              <w:t>M_total = Σ m_componentes + estructura + cableado + margen</w:t>
            </w:r>
          </w:p>
        </w:tc>
        <w:tc>
          <w:tcPr>
            <w:tcW w:type="dxa" w:w="1680"/>
            <w:vAlign w:val="top"/>
          </w:tcPr>
          <w:p>
            <w:r>
              <w:t>≤ 2.00 kg</w:t>
            </w:r>
          </w:p>
        </w:tc>
        <w:tc>
          <w:tcPr>
            <w:tcW w:type="dxa" w:w="1680"/>
            <w:vAlign w:val="top"/>
          </w:tcPr>
          <w:p>
            <w:r>
              <w:t>ET-12</w:t>
            </w:r>
          </w:p>
        </w:tc>
        <w:tc>
          <w:tcPr>
            <w:tcW w:type="dxa" w:w="1680"/>
            <w:vAlign w:val="top"/>
          </w:tcPr>
          <w:p>
            <w:r>
              <w:t>La suma real se cerrará cuando existan componentes y distribución física; el límite es una restricción 1U.</w:t>
            </w:r>
          </w:p>
        </w:tc>
      </w:tr>
      <w:tr>
        <w:tc>
          <w:tcPr>
            <w:tcW w:type="dxa" w:w="1680"/>
            <w:vAlign w:val="top"/>
          </w:tcPr>
          <w:p>
            <w:r>
              <w:t>CALC-08</w:t>
            </w:r>
          </w:p>
        </w:tc>
        <w:tc>
          <w:tcPr>
            <w:tcW w:type="dxa" w:w="1680"/>
            <w:vAlign w:val="top"/>
          </w:tcPr>
          <w:p>
            <w:r>
              <w:t>Volumen total</w:t>
            </w:r>
          </w:p>
        </w:tc>
        <w:tc>
          <w:tcPr>
            <w:tcW w:type="dxa" w:w="1680"/>
            <w:vAlign w:val="top"/>
          </w:tcPr>
          <w:p>
            <w:r>
              <w:t>V_total ≤ volumen útil 1U, considerando interfaces, montaje y márgenes</w:t>
            </w:r>
          </w:p>
        </w:tc>
        <w:tc>
          <w:tcPr>
            <w:tcW w:type="dxa" w:w="1680"/>
            <w:vAlign w:val="top"/>
          </w:tcPr>
          <w:p>
            <w:r>
              <w:t>≤ 1U</w:t>
            </w:r>
          </w:p>
        </w:tc>
        <w:tc>
          <w:tcPr>
            <w:tcW w:type="dxa" w:w="1680"/>
            <w:vAlign w:val="top"/>
          </w:tcPr>
          <w:p>
            <w:r>
              <w:t>ET-13</w:t>
            </w:r>
          </w:p>
        </w:tc>
        <w:tc>
          <w:tcPr>
            <w:tcW w:type="dxa" w:w="1680"/>
            <w:vAlign w:val="top"/>
          </w:tcPr>
          <w:p>
            <w:r>
              <w:t>La comprobación física se hará con la distribución final de PCB, cámara, batería, radio, antenas y estructura.</w:t>
            </w:r>
          </w:p>
        </w:tc>
      </w:tr>
      <w:tr>
        <w:tc>
          <w:tcPr>
            <w:tcW w:type="dxa" w:w="1680"/>
            <w:vAlign w:val="top"/>
          </w:tcPr>
          <w:p>
            <w:r>
              <w:t>CALC-09</w:t>
            </w:r>
          </w:p>
        </w:tc>
        <w:tc>
          <w:tcPr>
            <w:tcW w:type="dxa" w:w="1680"/>
            <w:vAlign w:val="top"/>
          </w:tcPr>
          <w:p>
            <w:r>
              <w:t>Margen de potencia/energía</w:t>
            </w:r>
          </w:p>
        </w:tc>
        <w:tc>
          <w:tcPr>
            <w:tcW w:type="dxa" w:w="1680"/>
            <w:vAlign w:val="top"/>
          </w:tcPr>
          <w:p>
            <w:r>
              <w:t>P_generación,usable ≥ P_cargas + pérdidas + margen</w:t>
            </w:r>
          </w:p>
        </w:tc>
        <w:tc>
          <w:tcPr>
            <w:tcW w:type="dxa" w:w="1680"/>
            <w:vAlign w:val="top"/>
          </w:tcPr>
          <w:p>
            <w:r>
              <w:t>TBD</w:t>
            </w:r>
          </w:p>
        </w:tc>
        <w:tc>
          <w:tcPr>
            <w:tcW w:type="dxa" w:w="1680"/>
            <w:vAlign w:val="top"/>
          </w:tcPr>
          <w:p>
            <w:r>
              <w:t>ET-27 / ET-36 / ET-37</w:t>
            </w:r>
          </w:p>
        </w:tc>
        <w:tc>
          <w:tcPr>
            <w:tcW w:type="dxa" w:w="1680"/>
            <w:vAlign w:val="top"/>
          </w:tcPr>
          <w:p>
            <w:r>
              <w:t>El arreglo solar no se dimensiona hasta cerrar el balance energético.</w:t>
            </w:r>
          </w:p>
        </w:tc>
      </w:tr>
      <w:tr>
        <w:tc>
          <w:tcPr>
            <w:tcW w:type="dxa" w:w="1680"/>
            <w:vAlign w:val="top"/>
          </w:tcPr>
          <w:p>
            <w:r>
              <w:t>CALC-10</w:t>
            </w:r>
          </w:p>
        </w:tc>
        <w:tc>
          <w:tcPr>
            <w:tcW w:type="dxa" w:w="1680"/>
            <w:vAlign w:val="top"/>
          </w:tcPr>
          <w:p>
            <w:r>
              <w:t>Margen de procesamiento</w:t>
            </w:r>
          </w:p>
        </w:tc>
        <w:tc>
          <w:tcPr>
            <w:tcW w:type="dxa" w:w="1680"/>
            <w:vAlign w:val="top"/>
          </w:tcPr>
          <w:p>
            <w:r>
              <w:t>Capacidad disponible ≥ demanda prevista × (1 + margen)</w:t>
            </w:r>
          </w:p>
        </w:tc>
        <w:tc>
          <w:tcPr>
            <w:tcW w:type="dxa" w:w="1680"/>
            <w:vAlign w:val="top"/>
          </w:tcPr>
          <w:p>
            <w:r>
              <w:t>TBD</w:t>
            </w:r>
          </w:p>
        </w:tc>
        <w:tc>
          <w:tcPr>
            <w:tcW w:type="dxa" w:w="1680"/>
            <w:vAlign w:val="top"/>
          </w:tcPr>
          <w:p>
            <w:r>
              <w:t>ET-28 / ET-29</w:t>
            </w:r>
          </w:p>
        </w:tc>
        <w:tc>
          <w:tcPr>
            <w:tcW w:type="dxa" w:w="1680"/>
            <w:vAlign w:val="top"/>
          </w:tcPr>
          <w:p>
            <w:r>
              <w:t>Se cierra con la arquitectura OBC y la carga computacional, memoria y throughput de las interfaces.</w:t>
            </w:r>
          </w:p>
        </w:tc>
      </w:tr>
    </w:tbl>
    <w:p/>
    <w:p>
      <w:pPr>
        <w:pStyle w:val="Heading1"/>
      </w:pPr>
      <w:r>
        <w:t>5. Cálculos exploratorios auditados — NO son especificaciones finales</w:t>
      </w:r>
    </w:p>
    <w:p>
      <w:r>
        <w:t>Estos cálculos provienen de la sustentación previa y se conservan para que quede documentado de dónde salieron determinadas cifras y por qué no se congelaron. No deben utilizarse como valores finales de diseño.</w:t>
      </w:r>
    </w:p>
    <w:p>
      <w:pPr>
        <w:pStyle w:val="Heading2"/>
      </w:pPr>
      <w:r>
        <w:t>5.1 Escalamiento preliminar del GSD</w:t>
      </w:r>
    </w:p>
    <w:p>
      <w:r>
        <w:t>Como ejercicio de referencia se utilizó el valor de 35 m de GSD a 650 km atribuido a THEIA en la sustentación anterior y se escaló proporcionalmente a 550 km:</w:t>
      </w:r>
    </w:p>
    <w:p>
      <w:r>
        <w:t>GSD(550 km) = 35 × (550 / 650) = 29.62 m/píxel ≈ 30 m/píxel.</w:t>
      </w:r>
    </w:p>
    <w:p>
      <w:r>
        <w:t>Estado: EXPLORATORIO. La matriz definitiva no congela 30 m/píxel; ET-02 permanece TBD hasta cerrar cámara, óptica, FOV y criterio de observación.</w:t>
      </w:r>
    </w:p>
    <w:p>
      <w:pPr>
        <w:pStyle w:val="Heading2"/>
      </w:pPr>
      <w:r>
        <w:t>5.2 IFOV asociado al escenario de 30 m/píxel</w:t>
      </w:r>
    </w:p>
    <w:p>
      <w:r>
        <w:t>Para observación nadir y aproximación de ángulo pequeño:</w:t>
      </w:r>
    </w:p>
    <w:p>
      <w:r>
        <w:t>IFOV ≈ GSD / H = 30 / 550000 = 5.454545e-05 rad ≈ 54.5 µrad/píxel.</w:t>
      </w:r>
    </w:p>
    <w:p>
      <w:r>
        <w:t>Estado: EXPLORATORIO. Se utiliza únicamente como condición de diseño preliminar y no como valor final de ET-02/ET-03.</w:t>
      </w:r>
    </w:p>
    <w:p>
      <w:pPr>
        <w:pStyle w:val="Heading2"/>
      </w:pPr>
      <w:r>
        <w:t>5.3 Swath de referencia</w:t>
      </w:r>
    </w:p>
    <w:p>
      <w:r>
        <w:t>Para una cámara con FOV conocido:</w:t>
      </w:r>
    </w:p>
    <w:p>
      <w:r>
        <w:t>Swath = 2H tan(FOV/2)</w:t>
      </w:r>
    </w:p>
    <w:p>
      <w:r>
        <w:t>Usando únicamente como referencia el FOV de THEIA de 2.1° × 2.7° a H = 550 km:</w:t>
      </w:r>
    </w:p>
    <w:p>
      <w:r>
        <w:t>Swath_x = 2(550)tan(2.1°/2) = 20.16 km</w:t>
      </w:r>
    </w:p>
    <w:p>
      <w:r>
        <w:t>Swath_y = 2(550)tan(2.7°/2) = 25.92 km</w:t>
      </w:r>
    </w:p>
    <w:p>
      <w:r>
        <w:t>Resultado exploratorio: aproximadamente 20.2 × 25.9 km. No representa el FOV definitivo de nuestra cámara.</w:t>
      </w:r>
    </w:p>
    <w:p>
      <w:pPr>
        <w:pStyle w:val="Heading2"/>
      </w:pPr>
      <w:r>
        <w:t>5.4 Volumen de datos de un escenario anterior</w:t>
      </w:r>
    </w:p>
    <w:p>
      <w:r>
        <w:t>Se documenta el escenario previamente utilizado de 943 × 733 píxeles, 2 bandas y 16 bits por muestra:</w:t>
      </w:r>
    </w:p>
    <w:p>
      <w:r>
        <w:t>D_img = 943 × 733 × 2 × 16 / 8 = 2764876 bytes ≈ 2.765 MB (decimal).</w:t>
      </w:r>
    </w:p>
    <w:p>
      <w:r>
        <w:t>Estado: EXPLORATORIO. La matriz definitiva mantiene ET-06 como TBD y no congela este volumen.</w:t>
      </w:r>
    </w:p>
    <w:p>
      <w:pPr>
        <w:pStyle w:val="Heading2"/>
      </w:pPr>
      <w:r>
        <w:t>5.5 Periodo orbital y eclipse simplificado</w:t>
      </w:r>
    </w:p>
    <w:p>
      <w:r>
        <w:t>Con radio terrestre R_T = 6378 km, altura H = 550 km y parámetro gravitacional μ = 398600.4418 km³/s²:</w:t>
      </w:r>
    </w:p>
    <w:p>
      <w:r>
        <w:t>r = R_T + H = 6378 + 550 = 6928 km</w:t>
      </w:r>
    </w:p>
    <w:p>
      <w:r>
        <w:t>T = 2π√(r³/μ) = 95.65 min</w:t>
      </w:r>
    </w:p>
    <w:p>
      <w:r>
        <w:t>Para un caso simplificado de eclipse máximo, la aproximación utilizada es t_eclipse = (T/π)·arcsin(R_T/r), que produce 35.61 min.</w:t>
      </w:r>
    </w:p>
    <w:p>
      <w:r>
        <w:t>Estado: EXPLORATORIO. Estos valores sirven para iniciar el presupuesto de energía, pero no cierran ET-08 ni la capacidad de batería; se requiere posteriormente una geometría orbital y una máscara de elevación consistentes con la misión.</w:t>
      </w:r>
    </w:p>
    <w:p>
      <w:pPr>
        <w:pStyle w:val="Heading2"/>
      </w:pPr>
      <w:r>
        <w:t>5.6 Referencia parcial de potencia</w:t>
      </w:r>
    </w:p>
    <w:p>
      <w:r>
        <w:t>En una estimación anterior se sumaron C&amp;DH = 0.46 W, un sensor = 0.04 W y tres magnetorquers de 0.25 W cada uno:</w:t>
      </w:r>
    </w:p>
    <w:p>
      <w:r>
        <w:t>P_parcial = 0.46 + 0.04 + 3(0.25) = 1.25 W</w:t>
      </w:r>
    </w:p>
    <w:p>
      <w:r>
        <w:t>Estado: REFERENCIA PARCIAL. No representa P_total del CubeSat porque faltan cámara, TT&amp;C, otros sensores, pérdidas, conversiones y márgenes, y los componentes aún no están seleccionados. La matriz definitiva mantiene CALC-04 y ET-36/ET-37 abiertos.</w:t>
      </w:r>
    </w:p>
    <w:p>
      <w:pPr>
        <w:pStyle w:val="Heading1"/>
      </w:pPr>
      <w:r>
        <w:t>6. Cálculos que NO deben forzarse en esta etapa</w:t>
      </w:r>
    </w:p>
    <w:p>
      <w:pPr>
        <w:pStyle w:val="ListBullet"/>
      </w:pPr>
      <w:r>
        <w:t>Latencia de telecomando: depende del OBC, protocolo y carga computacional (ET-01).</w:t>
      </w:r>
    </w:p>
    <w:p>
      <w:pPr>
        <w:pStyle w:val="ListBullet"/>
      </w:pPr>
      <w:r>
        <w:t>Error de apuntamiento y conocimiento de actitud: dependen de FOV, sensores y estimador ADCS (ET-04 y ET-05).</w:t>
      </w:r>
    </w:p>
    <w:p>
      <w:pPr>
        <w:pStyle w:val="ListBullet"/>
      </w:pPr>
      <w:r>
        <w:t>Duración efectiva del pase sobre Medellín: requiere máscara de elevación y geometría orbital (ET-08).</w:t>
      </w:r>
    </w:p>
    <w:p>
      <w:pPr>
        <w:pStyle w:val="ListBullet"/>
      </w:pPr>
      <w:r>
        <w:t>Margen y tasa de enlace: requieren potencia RF, ganancias, pérdidas, sensibilidad, tasa, modulación/codificación y tiempo de contacto (ET-09 y ET-10).</w:t>
      </w:r>
    </w:p>
    <w:p>
      <w:pPr>
        <w:pStyle w:val="ListBullet"/>
      </w:pPr>
      <w:r>
        <w:t>Batería y potencia solar: requieren perfil de cargas, eclipse, eficiencia, degradación, orientación y margen (ET-11, ET-36 y ET-37).</w:t>
      </w:r>
    </w:p>
    <w:p>
      <w:pPr>
        <w:pStyle w:val="ListBullet"/>
      </w:pPr>
      <w:r>
        <w:t>Rieles de alimentación, niveles lógicos y protocolos: dependen de los componentes extremos y de la arquitectura final (ET-38 a ET-40).</w:t>
      </w:r>
    </w:p>
    <w:p>
      <w:pPr>
        <w:pStyle w:val="Heading1"/>
      </w:pPr>
      <w:r>
        <w:t>7. Relación con la arquitectura seleccionada</w:t>
      </w:r>
    </w:p>
    <w:p>
      <w:r>
        <w:t>Los cálculos muestran por qué las decisiones de arquitectura no pueden cerrarse de forma independiente. La cámara determina el volumen de datos; ese volumen condiciona almacenamiento y tasa de bajada; la tasa y el sistema TT&amp;C afectan potencia; la potencia y la duración de los modos determinan energía y batería; y la arquitectura C&amp;DH debe disponer de procesamiento, memoria e interfaces suficientes para coordinar estas funciones.</w:t>
      </w:r>
    </w:p>
    <w:p>
      <w:r>
        <w:t>Por tanto, la arquitectura seleccionada mantiene deliberadamente algunos parámetros como TBD. Esto no representa una omisión: cada TBD tiene una dependencia explícita y un próximo paso de cierre.</w:t>
      </w:r>
    </w:p>
    <w:p>
      <w:pPr>
        <w:pStyle w:val="Heading1"/>
      </w:pPr>
      <w:r>
        <w:t>8. Conclusión para el entregable</w:t>
      </w:r>
    </w:p>
    <w:p>
      <w:r>
        <w:t>Con este documento quedan documentadas tanto las relaciones de cálculo utilizadas para el dimensionamiento como las estimaciones exploratorias que dieron origen a cifras anteriores. Las cifras exploratorias están separadas de los valores definitivos para evitar que se interpreten como requisitos congelados.</w:t>
      </w:r>
    </w:p>
    <w:p>
      <w:r>
        <w:t>La versión definitiva debe entenderse como: restricciones cerradas donde existe fundamento documental; TBD justificados donde aún falta una selección o cálculo; y cálculos exploratorios conservados como antecedente auditable.</w:t>
      </w:r>
    </w:p>
    <w:p>
      <w:pPr>
        <w:pStyle w:val="Heading1"/>
      </w:pPr>
      <w:r>
        <w:t>9. Fuentes documentales utilizadas</w:t>
      </w:r>
    </w:p>
    <w:p>
      <w:pPr>
        <w:pStyle w:val="ListBullet"/>
      </w:pPr>
      <w:r>
        <w:t>lab003_2598575_20262.pdf — guía de la Práctica 3, especialmente presupuestos y revisión interna.</w:t>
      </w:r>
    </w:p>
    <w:p>
      <w:pPr>
        <w:pStyle w:val="ListBullet"/>
      </w:pPr>
      <w:r>
        <w:t>Proyecto CubeSat UD34 2026.pdf — misión, configuración 1U, órbita de referencia, estación, payload y subsistemas.</w:t>
      </w:r>
    </w:p>
    <w:p>
      <w:pPr>
        <w:pStyle w:val="ListBullet"/>
      </w:pPr>
      <w:r>
        <w:t>CDS REV14_1 2022-02-09.pdf — restricciones CubeSat de masa, integración, inhibiciones, materiales y venteo.</w:t>
      </w:r>
    </w:p>
    <w:p>
      <w:pPr>
        <w:pStyle w:val="ListBullet"/>
      </w:pPr>
      <w:r>
        <w:t>ECSS-E-ST-20C-Rev.2 (8 April 2022).pdf — criterios de márgenes de potencia/energía, memoria, throughput y EMC.</w:t>
      </w:r>
    </w:p>
    <w:p>
      <w:pPr>
        <w:pStyle w:val="ListBullet"/>
      </w:pPr>
      <w:r>
        <w:t>Sustentacion_Especificaciones_Tecnicas_CubeSat(1).docx — sustentación previa y cálculos exploratorios auditados.</w:t>
      </w:r>
    </w:p>
    <w:p>
      <w:pPr>
        <w:pStyle w:val="ListBullet"/>
      </w:pPr>
      <w:r>
        <w:t>Cubesat_Valentina_Sebastian.xlsx — versión definitiva de matrices, especificaciones, arquitectura y presupuestos.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