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SUSTENTACIÓN ACTUALIZADA DE LAS ESPECIFICACIONES TÉCNICAS</w:t>
      </w:r>
    </w:p>
    <w:p>
      <w:pPr>
        <w:jc w:val="center"/>
      </w:pPr>
      <w:r>
        <w:rPr>
          <w:b/>
        </w:rPr>
        <w:t>CubeSat 1U – Monitoreo multiespectral de cultivos de café</w:t>
        <w:br/>
        <w:t>Laboratorio 3 – Requisitos, especificaciones y arquitectura electrónica</w:t>
      </w:r>
    </w:p>
    <w:p>
      <w:r>
        <w:rPr>
          <w:b/>
        </w:rPr>
        <w:t xml:space="preserve">Versión actualizada respecto al Excel definitivo: </w:t>
      </w:r>
      <w:r>
        <w:t>Cubesat_Valentina_Sebastian (1)(1).xlsx</w:t>
      </w:r>
    </w:p>
    <w:p>
      <w:pPr>
        <w:pStyle w:val="Heading1"/>
      </w:pPr>
      <w:r>
        <w:t>1. Objetivo y alcance</w:t>
      </w:r>
    </w:p>
    <w:p>
      <w:r>
        <w:t>Este documento consolida la sustentación de las especificaciones técnicas en su estado actual y mantiene separadas las decisiones cerradas, los criterios de arquitectura y los parámetros que permanecen TBD. La versión actual se alinea con el Excel definitivo y evita convertir cálculos exploratorios o referencias de orden de magnitud en requisitos de diseño.</w:t>
      </w:r>
    </w:p>
    <w:p>
      <w:r>
        <w:t>El proyecto corresponde a un CubeSat 1U para monitoreo multiespectral de cultivos de café, con cámara multiespectral, generación solar, batería, ADCS, comunicaciones bidireccionales y sin propulsión. La guía de la práctica establece que no se requiere en esta etapa un diseño electrónico detallado ni la selección definitiva de componentes.</w:t>
      </w:r>
    </w:p>
    <w:p>
      <w:pPr>
        <w:pStyle w:val="Heading1"/>
      </w:pPr>
      <w:r>
        <w:t>2. Criterio de uso de TBD</w:t>
      </w:r>
    </w:p>
    <w:p>
      <w:r>
        <w:t>TBD (To Be Determined) se conserva cuando el valor depende de una decisión de arquitectura, selección de componente o cálculo que no puede cerrarse sin introducir supuestos no respaldados. Cada TBD incluye en el Excel una dependencia que indica cómo podrá cerrarse posteriormente.</w:t>
      </w:r>
    </w:p>
    <w:p>
      <w:r>
        <w:t>La cadena de diseño utilizada es: requisitos de misión → payload → datos → almacenamiento → comunicaciones → potencia/energía → arquitectura OBC/ADCS/EPS/interfaces. Esto evita fijar componentes o valores eléctricos antes de conocer las necesidades que deben satisfacer.</w:t>
      </w:r>
    </w:p>
    <w:p>
      <w:pPr>
        <w:pStyle w:val="Heading1"/>
      </w:pPr>
      <w:r>
        <w:t>3. Auditoría y actualización frente a la versión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Elemento</w:t>
            </w:r>
          </w:p>
        </w:tc>
        <w:tc>
          <w:tcPr>
            <w:tcW w:type="dxa" w:w="4873"/>
          </w:tcPr>
          <w:p>
            <w:r>
              <w:t>Actualización / criterio vigente</w:t>
            </w:r>
          </w:p>
        </w:tc>
      </w:tr>
      <w:tr>
        <w:tc>
          <w:tcPr>
            <w:tcW w:type="dxa" w:w="4873"/>
          </w:tcPr>
          <w:p>
            <w:r>
              <w:t>ET-01</w:t>
            </w:r>
          </w:p>
        </w:tc>
        <w:tc>
          <w:tcPr>
            <w:tcW w:type="dxa" w:w="4873"/>
          </w:tcPr>
          <w:p>
            <w:r>
              <w:t>Se mantiene TBD. No se fija una arquitectura OBC, frecuencia de procesador, RTOS ni latencia concreta antes de definir la carga y la arquitectura.</w:t>
            </w:r>
          </w:p>
        </w:tc>
      </w:tr>
      <w:tr>
        <w:tc>
          <w:tcPr>
            <w:tcW w:type="dxa" w:w="4873"/>
          </w:tcPr>
          <w:p>
            <w:r>
              <w:t>ET-02</w:t>
            </w:r>
          </w:p>
        </w:tc>
        <w:tc>
          <w:tcPr>
            <w:tcW w:type="dxa" w:w="4873"/>
          </w:tcPr>
          <w:p>
            <w:r>
              <w:t>Se corrige: el GSD ya no se fija en 30 m/píxel. El Excel definitivo lo mantiene TBD porque los documentos suministrados no imponen un valor numérico y todavía deben definirse cámara, óptica y criterio de observación.</w:t>
            </w:r>
          </w:p>
        </w:tc>
      </w:tr>
      <w:tr>
        <w:tc>
          <w:tcPr>
            <w:tcW w:type="dxa" w:w="4873"/>
          </w:tcPr>
          <w:p>
            <w:r>
              <w:t>ET-03</w:t>
            </w:r>
          </w:p>
        </w:tc>
        <w:tc>
          <w:tcPr>
            <w:tcW w:type="dxa" w:w="4873"/>
          </w:tcPr>
          <w:p>
            <w:r>
              <w:t>Se mantiene TBD. El swath depende del FOV y de la geometría de la cámara seleccionada.</w:t>
            </w:r>
          </w:p>
        </w:tc>
      </w:tr>
      <w:tr>
        <w:tc>
          <w:tcPr>
            <w:tcW w:type="dxa" w:w="4873"/>
          </w:tcPr>
          <w:p>
            <w:r>
              <w:t>ET-04</w:t>
            </w:r>
          </w:p>
        </w:tc>
        <w:tc>
          <w:tcPr>
            <w:tcW w:type="dxa" w:w="4873"/>
          </w:tcPr>
          <w:p>
            <w:r>
              <w:t>Se mantiene TBD. El error de apuntamiento debe derivarse del FOV, resolución y desempeño requerido del ADCS.</w:t>
            </w:r>
          </w:p>
        </w:tc>
      </w:tr>
      <w:tr>
        <w:tc>
          <w:tcPr>
            <w:tcW w:type="dxa" w:w="4873"/>
          </w:tcPr>
          <w:p>
            <w:r>
              <w:t>ET-05</w:t>
            </w:r>
          </w:p>
        </w:tc>
        <w:tc>
          <w:tcPr>
            <w:tcW w:type="dxa" w:w="4873"/>
          </w:tcPr>
          <w:p>
            <w:r>
              <w:t>Se mantiene TBD. El conocimiento de actitud depende de sensores, estimador y desempeño de actitud.</w:t>
            </w:r>
          </w:p>
        </w:tc>
      </w:tr>
      <w:tr>
        <w:tc>
          <w:tcPr>
            <w:tcW w:type="dxa" w:w="4873"/>
          </w:tcPr>
          <w:p>
            <w:r>
              <w:t>ET-06 a ET-11</w:t>
            </w:r>
          </w:p>
        </w:tc>
        <w:tc>
          <w:tcPr>
            <w:tcW w:type="dxa" w:w="4873"/>
          </w:tcPr>
          <w:p>
            <w:r>
              <w:t>Se mantienen TBD justificados porque dependen de cámara, bandas, profundidad radiométrica, formato, plan de observación, contacto y presupuesto de enlace/energía.</w:t>
            </w:r>
          </w:p>
        </w:tc>
      </w:tr>
      <w:tr>
        <w:tc>
          <w:tcPr>
            <w:tcW w:type="dxa" w:w="4873"/>
          </w:tcPr>
          <w:p>
            <w:r>
              <w:t>ET-31</w:t>
            </w:r>
          </w:p>
        </w:tc>
        <w:tc>
          <w:tcPr>
            <w:tcW w:type="dxa" w:w="4873"/>
          </w:tcPr>
          <w:p>
            <w:r>
              <w:t>Se mantiene TBD. Se eliminó el supuesto arbitrario de −40 a +85 °C; primero debe derivarse el ambiente térmico interno.</w:t>
            </w:r>
          </w:p>
        </w:tc>
      </w:tr>
      <w:tr>
        <w:tc>
          <w:tcPr>
            <w:tcW w:type="dxa" w:w="4873"/>
          </w:tcPr>
          <w:p>
            <w:r>
              <w:t>ET-35</w:t>
            </w:r>
          </w:p>
        </w:tc>
        <w:tc>
          <w:tcPr>
            <w:tcW w:type="dxa" w:w="4873"/>
          </w:tcPr>
          <w:p>
            <w:r>
              <w:t>Se cerró como criterio de arquitectura: las interfaces críticas deben documentarse con origen, destino, señal/protocolo, características eléctricas preliminares y tasa/volumen; el conector físico puede permanecer TBD si depende de componentes aún no seleccionados.</w:t>
            </w:r>
          </w:p>
        </w:tc>
      </w:tr>
      <w:tr>
        <w:tc>
          <w:tcPr>
            <w:tcW w:type="dxa" w:w="4873"/>
          </w:tcPr>
          <w:p>
            <w:r>
              <w:t>ET-41</w:t>
            </w:r>
          </w:p>
        </w:tc>
        <w:tc>
          <w:tcPr>
            <w:tcW w:type="dxa" w:w="4873"/>
          </w:tcPr>
          <w:p>
            <w:r>
              <w:t>Se mantiene TBD. La misión exige multiespectralidad, pero las bandas concretas deben seleccionarse y justificarse posteriormente.</w:t>
            </w:r>
          </w:p>
        </w:tc>
      </w:tr>
      <w:tr>
        <w:tc>
          <w:tcPr>
            <w:tcW w:type="dxa" w:w="4873"/>
          </w:tcPr>
          <w:p>
            <w:r>
              <w:t>ET-42</w:t>
            </w:r>
          </w:p>
        </w:tc>
        <w:tc>
          <w:tcPr>
            <w:tcW w:type="dxa" w:w="4873"/>
          </w:tcPr>
          <w:p>
            <w:r>
              <w:t>Se mantiene TBD. La profundidad radiométrica depende de la cámara y afecta directamente el volumen de datos.</w:t>
            </w:r>
          </w:p>
        </w:tc>
      </w:tr>
      <w:tr>
        <w:tc>
          <w:tcPr>
            <w:tcW w:type="dxa" w:w="4873"/>
          </w:tcPr>
          <w:p>
            <w:r>
              <w:t>ET-43</w:t>
            </w:r>
          </w:p>
        </w:tc>
        <w:tc>
          <w:tcPr>
            <w:tcW w:type="dxa" w:w="4873"/>
          </w:tcPr>
          <w:p>
            <w:r>
              <w:t>Se mantiene TBD. El formato de imagen se definirá junto con cámara, almacenamiento y comunicaciones.</w:t>
            </w:r>
          </w:p>
        </w:tc>
      </w:tr>
      <w:tr>
        <w:tc>
          <w:tcPr>
            <w:tcW w:type="dxa" w:w="4873"/>
          </w:tcPr>
          <w:p>
            <w:r>
              <w:t>ET-44</w:t>
            </w:r>
          </w:p>
        </w:tc>
        <w:tc>
          <w:tcPr>
            <w:tcW w:type="dxa" w:w="4873"/>
          </w:tcPr>
          <w:p>
            <w:r>
              <w:t>Se incorpora para RF-002: control de adquisición de cámara, cerrado como criterio funcional y con señales/protocolo aún TBD.</w:t>
            </w:r>
          </w:p>
        </w:tc>
      </w:tr>
      <w:tr>
        <w:tc>
          <w:tcPr>
            <w:tcW w:type="dxa" w:w="4873"/>
          </w:tcPr>
          <w:p>
            <w:r>
              <w:t>ET-45</w:t>
            </w:r>
          </w:p>
        </w:tc>
        <w:tc>
          <w:tcPr>
            <w:tcW w:type="dxa" w:w="4873"/>
          </w:tcPr>
          <w:p>
            <w:r>
              <w:t>Se incorpora para RF-008: capacidad funcional de control de actitud mediante sensores, estimación/control y actuadores; el desempeño cuantitativo queda TBD.</w:t>
            </w:r>
          </w:p>
        </w:tc>
      </w:tr>
      <w:tr>
        <w:tc>
          <w:tcPr>
            <w:tcW w:type="dxa" w:w="4873"/>
          </w:tcPr>
          <w:p>
            <w:r>
              <w:t>ET-46</w:t>
            </w:r>
          </w:p>
        </w:tc>
        <w:tc>
          <w:tcPr>
            <w:tcW w:type="dxa" w:w="4873"/>
          </w:tcPr>
          <w:p>
            <w:r>
              <w:t>Se incorpora para RA-002: consideración preliminar del entorno de radiación; TID/SEE y análisis detallado quedan TBD.</w:t>
            </w:r>
          </w:p>
        </w:tc>
      </w:tr>
    </w:tbl>
    <w:p>
      <w:pPr>
        <w:pStyle w:val="Heading1"/>
      </w:pPr>
      <w:r>
        <w:t>4. Cálculos exploratorios que permanecen como soporte, no como especificaciones cerradas</w:t>
      </w:r>
    </w:p>
    <w:p>
      <w:r>
        <w:t>Los siguientes cálculos siguen siendo útiles como comprobaciones de orden de magnitud. No deben interpretarse como valores definitivos del CubeSat mientras las variables de entrada correspondientes permanezcan TBD.</w:t>
      </w:r>
    </w:p>
    <w:p>
      <w:pPr>
        <w:pStyle w:val="Heading2"/>
      </w:pPr>
      <w:r>
        <w:t>4.1 IFOV y GSD</w:t>
      </w:r>
    </w:p>
    <w:p>
      <w:r>
        <w:t>La relación geométrica IFOV ≈ GSD/H permite relacionar resolución en tierra con altura orbital y resolución angular por píxel. Sin embargo, como el Excel definitivo mantiene ET-02 como TBD, el cálculo con 30 m/píxel debe considerarse únicamente exploratorio y no una decisión cerrada.</w:t>
      </w:r>
    </w:p>
    <w:p>
      <w:pPr>
        <w:pStyle w:val="Heading2"/>
      </w:pPr>
      <w:r>
        <w:t>4.2 Swath</w:t>
      </w:r>
    </w:p>
    <w:p>
      <w:r>
        <w:t>La expresión Swath = 2H·tan(FOV/2) permite estimar la cobertura transversal a partir de la altura y el campo de visión. Los valores obtenidos usando THEIA se conservan únicamente como referencia de orden de magnitud; no fijan el FOV de nuestra cámara.</w:t>
      </w:r>
    </w:p>
    <w:p>
      <w:pPr>
        <w:pStyle w:val="Heading2"/>
      </w:pPr>
      <w:r>
        <w:t>4.3 Volumen de datos por imagen</w:t>
      </w:r>
    </w:p>
    <w:p>
      <w:r>
        <w:t>La expresión general es:</w:t>
        <w:br/>
        <w:t>Datos/imagen = N_x × N_y × N_bandas × bits/muestra / 8.</w:t>
      </w:r>
    </w:p>
    <w:p>
      <w:r>
        <w:t>El escenario exploratorio con 943 × 733 píxeles, dos bandas y 16 bits por muestra produce aproximadamente 2,765 MB (2.637 MiB). Este resultado no cierra ET-06, porque la resolución, número de bandas, profundidad radiométrica y formato final continúan TBD.</w:t>
      </w:r>
    </w:p>
    <w:p>
      <w:pPr>
        <w:pStyle w:val="Heading2"/>
      </w:pPr>
      <w:r>
        <w:t>4.4 Órbita y eclipse</w:t>
      </w:r>
    </w:p>
    <w:p>
      <w:r>
        <w:t>Con los parámetros orbitales de referencia utilizados previamente, el período orbital se estimó en aproximadamente 95.65 min y el eclipse máximo simplificado en aproximadamente 35.61 min. Estos valores sirven para iniciar el presupuesto energético, pero no sustituyen una propagación orbital ni constituyen por sí mismos una especificación cerrada.</w:t>
      </w:r>
    </w:p>
    <w:p>
      <w:pPr>
        <w:pStyle w:val="Heading2"/>
      </w:pPr>
      <w:r>
        <w:t>4.5 Comunicaciones</w:t>
      </w:r>
    </w:p>
    <w:p>
      <w:r>
        <w:t>La tasa mínima de bajada se plantea mediante R_datos ≥ Datos_acumulados / tiempo_de_contacto, incorporando posteriormente eficiencia de protocolo, codificación, modulación, pérdidas y margen. Por ello ET-10 permanece TBD.</w:t>
      </w:r>
    </w:p>
    <w:p>
      <w:pPr>
        <w:pStyle w:val="Heading2"/>
      </w:pPr>
      <w:r>
        <w:t>4.6 Energía y batería</w:t>
      </w:r>
    </w:p>
    <w:p>
      <w:r>
        <w:t>La capacidad útil de batería se dimensionará a partir de la demanda durante el peor caso de eclipse, incluyendo eficiencia y margen. La potencia del arreglo solar se cerrará mediante el balance de energía generada y demandada, considerando degradación, eficiencia, orientación y eclipse.</w:t>
      </w:r>
    </w:p>
    <w:p>
      <w:pPr>
        <w:pStyle w:val="Heading1"/>
      </w:pPr>
      <w:r>
        <w:t>5. Interfaces y arquitectura</w:t>
      </w:r>
    </w:p>
    <w:p>
      <w:r>
        <w:t>La arquitectura seleccionada utiliza dos PCBs principales. IF-03 corresponde a la transferencia de potencia desde PCB 1 – EPS hacia PCB 2 – Aviónica. IF-11 corresponde al enlace de datos/control entre C&amp;DH y PCB 1 – EPS. El criterio ET-35 exige que las interfaces críticas estén documentadas antes del diseño esquemático, pero permite mantener el conector físico TBD cuando dependa de componentes aún no seleccionados.</w:t>
      </w:r>
    </w:p>
    <w:p>
      <w:r>
        <w:t>En el diagrama funcional actualizado, IF-10 conecta directamente C&amp;DH con Drivers/Magnetorquers e IF-11 conecta C&amp;DH con PCB 1 – EPS. No se utiliza un bloque intermedio denominado 'Interfaces/Gestión'.</w:t>
      </w:r>
    </w:p>
    <w:p>
      <w:pPr>
        <w:pStyle w:val="Heading1"/>
      </w:pPr>
      <w:r>
        <w:t>6. Control de adquisición de cámara – ET-44</w:t>
      </w:r>
    </w:p>
    <w:p>
      <w:r>
        <w:t>ET-44 deriva directamente de RF-002. La arquitectura debe permitir iniciar, configurar y finalizar la adquisición de imágenes. Las señales y el protocolo concreto permanecen TBD hasta definir la interfaz de la cámara y el diseño electrónico detallado. La verificación inicial se realizará mediante revisión de arquitectura/ICD y posteriormente mediante prueba funcional.</w:t>
      </w:r>
    </w:p>
    <w:p>
      <w:pPr>
        <w:pStyle w:val="Heading1"/>
      </w:pPr>
      <w:r>
        <w:t>7. Control de actitud – ET-45 y alternativa A-13</w:t>
      </w:r>
    </w:p>
    <w:p>
      <w:r>
        <w:t>ET-45 deriva de RF-008 y establece la capacidad funcional de control de actitud mediante sensores, estimación/control y actuadores. La alternativa A-13 se mantiene como la arquitectura seleccionada a nivel conceptual, utilizando magnetorquers como actuadores.</w:t>
      </w:r>
    </w:p>
    <w:p>
      <w:r>
        <w:t>La selección A-13 no implica que los magnetorquers, por sí solos, garanticen un nivel cuantitativo de estabilización o apuntamiento. Su desempeño depende de la dinámica orbital y del campo magnético local; por ello la precisión y el nivel de estabilización quedan TBD y deberán demostrarse mediante el análisis de desempeño del ADCS.</w:t>
      </w:r>
    </w:p>
    <w:p>
      <w:pPr>
        <w:pStyle w:val="Heading1"/>
      </w:pPr>
      <w:r>
        <w:t>8. Entorno de radiación – ET-46</w:t>
      </w:r>
    </w:p>
    <w:p>
      <w:r>
        <w:t>ET-46 deriva de RA-002. En esta práctica se establece como criterio realizar una evaluación preliminar de susceptibilidad de componentes críticos y posibles mitigaciones. Los valores cuantitativos de TID/SEE permanecen TBD y serán tratados cuando se seleccionen componentes y se realice el análisis de radiación correspondiente.</w:t>
      </w:r>
    </w:p>
    <w:p>
      <w:pPr>
        <w:pStyle w:val="Heading1"/>
      </w:pPr>
      <w:r>
        <w:t>9. Presupuestos: referencias de orden de magnitud</w:t>
      </w:r>
    </w:p>
    <w:p>
      <w:r>
        <w:t>Las referencias cuantitativas agregadas al Excel de Presupuestos no sustituyen los presupuestos de diseño y no constituyen selección de componentes. Se utilizan únicamente para comprobar que las magnitudes preliminares están dentro de órdenes de magnitud observados en sistemas SmallSat documentados en los materiales suministrados.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Área</w:t>
            </w:r>
          </w:p>
        </w:tc>
        <w:tc>
          <w:tcPr>
            <w:tcW w:type="dxa" w:w="2436"/>
          </w:tcPr>
          <w:p>
            <w:r>
              <w:t>Referencia</w:t>
            </w:r>
          </w:p>
        </w:tc>
        <w:tc>
          <w:tcPr>
            <w:tcW w:type="dxa" w:w="2436"/>
          </w:tcPr>
          <w:p>
            <w:r>
              <w:t>Dato</w:t>
            </w:r>
          </w:p>
        </w:tc>
        <w:tc>
          <w:tcPr>
            <w:tcW w:type="dxa" w:w="2436"/>
          </w:tcPr>
          <w:p>
            <w:r>
              <w:t>Uso</w:t>
            </w:r>
          </w:p>
        </w:tc>
      </w:tr>
      <w:tr>
        <w:tc>
          <w:tcPr>
            <w:tcW w:type="dxa" w:w="2436"/>
          </w:tcPr>
          <w:p>
            <w:r>
              <w:t>OBC</w:t>
            </w:r>
          </w:p>
        </w:tc>
        <w:tc>
          <w:tcPr>
            <w:tcW w:type="dxa" w:w="2436"/>
          </w:tcPr>
          <w:p>
            <w:r>
              <w:t>C3S Electronics OBC</w:t>
            </w:r>
          </w:p>
        </w:tc>
        <w:tc>
          <w:tcPr>
            <w:tcW w:type="dxa" w:w="2436"/>
          </w:tcPr>
          <w:p>
            <w:r>
              <w:t>0.46 W</w:t>
            </w:r>
          </w:p>
        </w:tc>
        <w:tc>
          <w:tcPr>
            <w:tcW w:type="dxa" w:w="2436"/>
          </w:tcPr>
          <w:p>
            <w:r>
              <w:t>Referencia de orden de magnitud de consumo</w:t>
            </w:r>
          </w:p>
        </w:tc>
      </w:tr>
      <w:tr>
        <w:tc>
          <w:tcPr>
            <w:tcW w:type="dxa" w:w="2436"/>
          </w:tcPr>
          <w:p>
            <w:r>
              <w:t>OBC</w:t>
            </w:r>
          </w:p>
        </w:tc>
        <w:tc>
          <w:tcPr>
            <w:tcW w:type="dxa" w:w="2436"/>
          </w:tcPr>
          <w:p>
            <w:r>
              <w:t>Alén Space DARA OBC</w:t>
            </w:r>
          </w:p>
        </w:tc>
        <w:tc>
          <w:tcPr>
            <w:tcW w:type="dxa" w:w="2436"/>
          </w:tcPr>
          <w:p>
            <w:r>
              <w:t>0.280 W máximo</w:t>
            </w:r>
          </w:p>
        </w:tc>
        <w:tc>
          <w:tcPr>
            <w:tcW w:type="dxa" w:w="2436"/>
          </w:tcPr>
          <w:p>
            <w:r>
              <w:t>Referencia de orden de magnitud de consumo</w:t>
            </w:r>
          </w:p>
        </w:tc>
      </w:tr>
      <w:tr>
        <w:tc>
          <w:tcPr>
            <w:tcW w:type="dxa" w:w="2436"/>
          </w:tcPr>
          <w:p>
            <w:r>
              <w:t>ADCS</w:t>
            </w:r>
          </w:p>
        </w:tc>
        <w:tc>
          <w:tcPr>
            <w:tcW w:type="dxa" w:w="2436"/>
          </w:tcPr>
          <w:p>
            <w:r>
              <w:t>NewSpace Systems NCTR-M003</w:t>
            </w:r>
          </w:p>
        </w:tc>
        <w:tc>
          <w:tcPr>
            <w:tcW w:type="dxa" w:w="2436"/>
          </w:tcPr>
          <w:p>
            <w:r>
              <w:t>0.25 W</w:t>
            </w:r>
          </w:p>
        </w:tc>
        <w:tc>
          <w:tcPr>
            <w:tcW w:type="dxa" w:w="2436"/>
          </w:tcPr>
          <w:p>
            <w:r>
              <w:t>Referencia de orden de magnitud de magnetorquer</w:t>
            </w:r>
          </w:p>
        </w:tc>
      </w:tr>
      <w:tr>
        <w:tc>
          <w:tcPr>
            <w:tcW w:type="dxa" w:w="2436"/>
          </w:tcPr>
          <w:p>
            <w:r>
              <w:t>ADCS</w:t>
            </w:r>
          </w:p>
        </w:tc>
        <w:tc>
          <w:tcPr>
            <w:tcW w:type="dxa" w:w="2436"/>
          </w:tcPr>
          <w:p>
            <w:r>
              <w:t>ZARM Technik MT0.2-1</w:t>
            </w:r>
          </w:p>
        </w:tc>
        <w:tc>
          <w:tcPr>
            <w:tcW w:type="dxa" w:w="2436"/>
          </w:tcPr>
          <w:p>
            <w:r>
              <w:t>0.135–0.25 W</w:t>
            </w:r>
          </w:p>
        </w:tc>
        <w:tc>
          <w:tcPr>
            <w:tcW w:type="dxa" w:w="2436"/>
          </w:tcPr>
          <w:p>
            <w:r>
              <w:t>Referencia de rango de potencia de magnetorquer</w:t>
            </w:r>
          </w:p>
        </w:tc>
      </w:tr>
      <w:tr>
        <w:tc>
          <w:tcPr>
            <w:tcW w:type="dxa" w:w="2436"/>
          </w:tcPr>
          <w:p>
            <w:r>
              <w:t>EPS</w:t>
            </w:r>
          </w:p>
        </w:tc>
        <w:tc>
          <w:tcPr>
            <w:tcW w:type="dxa" w:w="2436"/>
          </w:tcPr>
          <w:p>
            <w:r>
              <w:t>GomSpace P31U</w:t>
            </w:r>
          </w:p>
        </w:tc>
        <w:tc>
          <w:tcPr>
            <w:tcW w:type="dxa" w:w="2436"/>
          </w:tcPr>
          <w:p>
            <w:r>
              <w:t>30 W máximo; 96 % eficiencia máxima</w:t>
            </w:r>
          </w:p>
        </w:tc>
        <w:tc>
          <w:tcPr>
            <w:tcW w:type="dxa" w:w="2436"/>
          </w:tcPr>
          <w:p>
            <w:r>
              <w:t>Referencia de escala del sistema EPS</w:t>
            </w:r>
          </w:p>
        </w:tc>
      </w:tr>
      <w:tr>
        <w:tc>
          <w:tcPr>
            <w:tcW w:type="dxa" w:w="2436"/>
          </w:tcPr>
          <w:p>
            <w:r>
              <w:t>Comunicaciones</w:t>
            </w:r>
          </w:p>
        </w:tc>
        <w:tc>
          <w:tcPr>
            <w:tcW w:type="dxa" w:w="2436"/>
          </w:tcPr>
          <w:p>
            <w:r>
              <w:t>ISISPACE TRXVU</w:t>
            </w:r>
          </w:p>
        </w:tc>
        <w:tc>
          <w:tcPr>
            <w:tcW w:type="dxa" w:w="2436"/>
          </w:tcPr>
          <w:p>
            <w:r>
              <w:t>9.6 kbps mínimo</w:t>
            </w:r>
          </w:p>
        </w:tc>
        <w:tc>
          <w:tcPr>
            <w:tcW w:type="dxa" w:w="2436"/>
          </w:tcPr>
          <w:p>
            <w:r>
              <w:t>Referencia de orden de magnitud de tasa de datos</w:t>
            </w:r>
          </w:p>
        </w:tc>
      </w:tr>
      <w:tr>
        <w:tc>
          <w:tcPr>
            <w:tcW w:type="dxa" w:w="2436"/>
          </w:tcPr>
          <w:p>
            <w:r>
              <w:t>Comunicaciones</w:t>
            </w:r>
          </w:p>
        </w:tc>
        <w:tc>
          <w:tcPr>
            <w:tcW w:type="dxa" w:w="2436"/>
          </w:tcPr>
          <w:p>
            <w:r>
              <w:t>NanoAvionics SatCOM UHF</w:t>
            </w:r>
          </w:p>
        </w:tc>
        <w:tc>
          <w:tcPr>
            <w:tcW w:type="dxa" w:w="2436"/>
          </w:tcPr>
          <w:p>
            <w:r>
              <w:t>2.4–38.4 kbps</w:t>
            </w:r>
          </w:p>
        </w:tc>
        <w:tc>
          <w:tcPr>
            <w:tcW w:type="dxa" w:w="2436"/>
          </w:tcPr>
          <w:p>
            <w:r>
              <w:t>Referencia de rango de tasa de datos</w:t>
            </w:r>
          </w:p>
        </w:tc>
      </w:tr>
    </w:tbl>
    <w:p>
      <w:r>
        <w:t>Nota: estos datos son referencias documentales de orden de magnitud y no son componentes seleccionados ni valores definitivos del CubeSat.</w:t>
      </w:r>
    </w:p>
    <w:p>
      <w:pPr>
        <w:pStyle w:val="Heading1"/>
      </w:pPr>
      <w:r>
        <w:t>10. Especificaciones que permanecen abiertas</w:t>
      </w:r>
    </w:p>
    <w:p>
      <w:pPr>
        <w:pStyle w:val="ListBullet"/>
      </w:pPr>
      <w:r>
        <w:t>ET-01: latencia de telecomando.</w:t>
      </w:r>
    </w:p>
    <w:p>
      <w:pPr>
        <w:pStyle w:val="ListBullet"/>
      </w:pPr>
      <w:r>
        <w:t>ET-02: GSD.</w:t>
      </w:r>
    </w:p>
    <w:p>
      <w:pPr>
        <w:pStyle w:val="ListBullet"/>
      </w:pPr>
      <w:r>
        <w:t>ET-03: swath.</w:t>
      </w:r>
    </w:p>
    <w:p>
      <w:pPr>
        <w:pStyle w:val="ListBullet"/>
      </w:pPr>
      <w:r>
        <w:t>ET-04/ET-05: desempeño de apuntamiento y conocimiento de actitud.</w:t>
      </w:r>
    </w:p>
    <w:p>
      <w:pPr>
        <w:pStyle w:val="ListBullet"/>
      </w:pPr>
      <w:r>
        <w:t>ET-06/ET-07: datos por imagen y almacenamiento.</w:t>
      </w:r>
    </w:p>
    <w:p>
      <w:pPr>
        <w:pStyle w:val="ListBullet"/>
      </w:pPr>
      <w:r>
        <w:t>ET-08: duración efectiva del pase sobre Medellín.</w:t>
      </w:r>
    </w:p>
    <w:p>
      <w:pPr>
        <w:pStyle w:val="ListBullet"/>
      </w:pPr>
      <w:r>
        <w:t>ET-09/ET-10: margen y tasa de bajada.</w:t>
      </w:r>
    </w:p>
    <w:p>
      <w:pPr>
        <w:pStyle w:val="ListBullet"/>
      </w:pPr>
      <w:r>
        <w:t>ET-11/ET-37: capacidad energética de batería.</w:t>
      </w:r>
    </w:p>
    <w:p>
      <w:pPr>
        <w:pStyle w:val="ListBullet"/>
      </w:pPr>
      <w:r>
        <w:t>ET-31: rango térmico de componentes.</w:t>
      </w:r>
    </w:p>
    <w:p>
      <w:pPr>
        <w:pStyle w:val="ListBullet"/>
      </w:pPr>
      <w:r>
        <w:t>ET-36: potencia disponible del arreglo solar.</w:t>
      </w:r>
    </w:p>
    <w:p>
      <w:pPr>
        <w:pStyle w:val="ListBullet"/>
      </w:pPr>
      <w:r>
        <w:t>ET-38: rieles de alimentación.</w:t>
      </w:r>
    </w:p>
    <w:p>
      <w:pPr>
        <w:pStyle w:val="ListBullet"/>
      </w:pPr>
      <w:r>
        <w:t>ET-39/ET-40: niveles lógicos y protocolos internos.</w:t>
      </w:r>
    </w:p>
    <w:p>
      <w:pPr>
        <w:pStyle w:val="ListBullet"/>
      </w:pPr>
      <w:r>
        <w:t>ET-41/ET-42/ET-43: bandas, profundidad radiométrica y formato de imagen.</w:t>
      </w:r>
    </w:p>
    <w:p>
      <w:pPr>
        <w:pStyle w:val="Heading1"/>
      </w:pPr>
      <w:r>
        <w:t>11. Fuentes documentales</w:t>
      </w:r>
    </w:p>
    <w:p>
      <w:r>
        <w:t>La sustentación utiliza únicamente la documentación que forma parte del material del proyecto y las fuentes técnicas ya registradas en el documento 'Fuentes_Tecnicas_Consultadas_CubeSat_1U'. No se incorporan nuevos datos de páginas web para cerrar las especificaciones.</w:t>
      </w:r>
    </w:p>
    <w:p>
      <w:pPr>
        <w:pStyle w:val="ListBullet"/>
      </w:pPr>
      <w:r>
        <w:t>Proyecto CubeSat UD34 2026.pdf.</w:t>
      </w:r>
    </w:p>
    <w:p>
      <w:pPr>
        <w:pStyle w:val="ListBullet"/>
      </w:pPr>
      <w:r>
        <w:t>lab003_2598575_20262.pdf.</w:t>
      </w:r>
    </w:p>
    <w:p>
      <w:pPr>
        <w:pStyle w:val="ListBullet"/>
      </w:pPr>
      <w:r>
        <w:t>CDS+REV14_1+2022-02-09.pdf – CubeSat Design Specification Rev. 14.1.</w:t>
      </w:r>
    </w:p>
    <w:p>
      <w:pPr>
        <w:pStyle w:val="ListBullet"/>
      </w:pPr>
      <w:r>
        <w:t>ECSS-E-ST-20C-Rev.2 (8 April 2022).</w:t>
      </w:r>
    </w:p>
    <w:p>
      <w:pPr>
        <w:pStyle w:val="ListBullet"/>
      </w:pPr>
      <w:r>
        <w:t>NASA Small Spacecraft State of the Art 2026 – documentos SOA suministrados.</w:t>
      </w:r>
    </w:p>
    <w:p>
      <w:pPr>
        <w:pStyle w:val="ListBullet"/>
      </w:pPr>
      <w:r>
        <w:t>NASA Small Spacecraft State of the Art 2025 – comunicaciones, documento suministrado.</w:t>
      </w:r>
    </w:p>
    <w:p>
      <w:pPr>
        <w:pStyle w:val="ListBullet"/>
      </w:pPr>
      <w:r>
        <w:t>Fuentes_Tecnicas_Consultadas_CubeSat_1U(1).docx.</w:t>
      </w:r>
    </w:p>
    <w:p>
      <w:pPr>
        <w:pStyle w:val="Heading1"/>
      </w:pPr>
      <w:r>
        <w:t>12. Conclusión</w:t>
      </w:r>
    </w:p>
    <w:p>
      <w:r>
        <w:t>La sustentación queda alineada con el Excel definitivo. Las decisiones que pueden cerrarse con la documentación disponible permanecen cerradas; los parámetros que requieren selección de componentes, diseño detallado o información adicional permanecen TBD. Los cálculos exploratorios se conservan como soporte de orden de magnitud y no se presentan como especificaciones definitivas.</w:t>
      </w:r>
    </w:p>
    <w:p>
      <w:r>
        <w:t>La siguiente etapa de diseño podrá utilizar esta base para cerrar cámara/óptica, procesamiento, almacenamiento, comunicaciones, EPS, ADCS e interfaces, manteniendo la trazabilidad requisito → especificación → arquitectura → verificación.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