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FUENTES TÉCNICAS CONSULTADAS</w:t>
      </w:r>
    </w:p>
    <w:p>
      <w:pPr>
        <w:jc w:val="center"/>
      </w:pPr>
      <w:r>
        <w:rPr>
          <w:b/>
          <w:sz w:val="28"/>
        </w:rPr>
        <w:t>CubeSat 1U – Monitoreo multiespectral de cultivos de café</w:t>
      </w:r>
    </w:p>
    <w:p>
      <w:pPr>
        <w:jc w:val="center"/>
      </w:pPr>
      <w:r>
        <w:rPr>
          <w:i/>
        </w:rPr>
        <w:t>Laboratorio 3 – Requisitos, especificaciones y arquitectura electrónica</w:t>
      </w:r>
    </w:p>
    <w:p>
      <w:pPr>
        <w:pStyle w:val="Heading1"/>
      </w:pPr>
      <w:r>
        <w:t>1. Propósito</w:t>
      </w:r>
    </w:p>
    <w:p>
      <w:r>
        <w:t>Este documento reúne las fuentes técnicas utilizadas como base para la definición de requisitos, especificaciones, arquitectura, presupuestos y sustentaciones del Laboratorio 3. Se separan las fuentes entregadas por el curso de las fuentes técnicas externas consultadas.</w:t>
      </w:r>
    </w:p>
    <w:p>
      <w:r>
        <w:t>Los enlaces externos corresponden a páginas oficiales o documentos oficiales de las organizaciones responsables. Las referencias internas se identifican mediante el nombre exacto del archivo y la sección o contenido relevante para que puedan localizarse directamente en el material del proyecto.</w:t>
      </w:r>
    </w:p>
    <w:p>
      <w:pPr>
        <w:pStyle w:val="Heading1"/>
      </w:pPr>
      <w:r>
        <w:t>2. Documentación base proporcionada por el curso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Ref.</w:t>
            </w:r>
          </w:p>
        </w:tc>
        <w:tc>
          <w:tcPr>
            <w:tcW w:type="dxa" w:w="2520"/>
          </w:tcPr>
          <w:p>
            <w:r>
              <w:t>Documento</w:t>
            </w:r>
          </w:p>
        </w:tc>
        <w:tc>
          <w:tcPr>
            <w:tcW w:type="dxa" w:w="2520"/>
          </w:tcPr>
          <w:p>
            <w:r>
              <w:t>Ubicación / identificación</w:t>
            </w:r>
          </w:p>
        </w:tc>
        <w:tc>
          <w:tcPr>
            <w:tcW w:type="dxa" w:w="2520"/>
          </w:tcPr>
          <w:p>
            <w:r>
              <w:t>Uso en el proyecto</w:t>
            </w:r>
          </w:p>
        </w:tc>
      </w:tr>
      <w:tr>
        <w:tc>
          <w:tcPr>
            <w:tcW w:type="dxa" w:w="2520"/>
            <w:vAlign w:val="top"/>
          </w:tcPr>
          <w:p>
            <w:r>
              <w:t>INT-01</w:t>
            </w:r>
          </w:p>
        </w:tc>
        <w:tc>
          <w:tcPr>
            <w:tcW w:type="dxa" w:w="2520"/>
            <w:vAlign w:val="top"/>
          </w:tcPr>
          <w:p>
            <w:r>
              <w:t>lab003_2598575_20262.pdf</w:t>
            </w:r>
          </w:p>
        </w:tc>
        <w:tc>
          <w:tcPr>
            <w:tcW w:type="dxa" w:w="2520"/>
            <w:vAlign w:val="top"/>
          </w:tcPr>
          <w:p>
            <w:r>
              <w:t>Práctica 3 – Requisitos, especificaciones y arquitectura; especialmente descripción, procedimiento y entregables.</w:t>
            </w:r>
          </w:p>
        </w:tc>
        <w:tc>
          <w:tcPr>
            <w:tcW w:type="dxa" w:w="2520"/>
            <w:vAlign w:val="top"/>
          </w:tcPr>
          <w:p>
            <w:r>
              <w:t>Define el método de trabajo, etapas, criterios de requisitos, especificaciones, arquitectura, presupuestos y fuentes que deben utilizarse.</w:t>
            </w:r>
          </w:p>
        </w:tc>
      </w:tr>
      <w:tr>
        <w:tc>
          <w:tcPr>
            <w:tcW w:type="dxa" w:w="2520"/>
            <w:vAlign w:val="top"/>
          </w:tcPr>
          <w:p>
            <w:r>
              <w:t>INT-02</w:t>
            </w:r>
          </w:p>
        </w:tc>
        <w:tc>
          <w:tcPr>
            <w:tcW w:type="dxa" w:w="2520"/>
            <w:vAlign w:val="top"/>
          </w:tcPr>
          <w:p>
            <w:r>
              <w:t>Proyecto CubeSat UD34 2026.pdf</w:t>
            </w:r>
          </w:p>
        </w:tc>
        <w:tc>
          <w:tcPr>
            <w:tcW w:type="dxa" w:w="2520"/>
            <w:vAlign w:val="top"/>
          </w:tcPr>
          <w:p>
            <w:r>
              <w:t>Descripción del proyecto; misión, sistemas electrónicos principales, restricciones y alcance académico.</w:t>
            </w:r>
          </w:p>
        </w:tc>
        <w:tc>
          <w:tcPr>
            <w:tcW w:type="dxa" w:w="2520"/>
            <w:vAlign w:val="top"/>
          </w:tcPr>
          <w:p>
            <w:r>
              <w:t>Fuente primaria de la misión: CubeSat 1U, vida nominal, órbita de referencia, estación en Medellín, cámara multiespectral, energía solar, baterías, ADCS, comunicaciones y ausencia de propulsión.</w:t>
            </w:r>
          </w:p>
        </w:tc>
      </w:tr>
      <w:tr>
        <w:tc>
          <w:tcPr>
            <w:tcW w:type="dxa" w:w="2520"/>
            <w:vAlign w:val="top"/>
          </w:tcPr>
          <w:p>
            <w:r>
              <w:t>INT-03</w:t>
            </w:r>
          </w:p>
        </w:tc>
        <w:tc>
          <w:tcPr>
            <w:tcW w:type="dxa" w:w="2520"/>
            <w:vAlign w:val="top"/>
          </w:tcPr>
          <w:p>
            <w:r>
              <w:t>CDS+REV14_1+2022-02-09.pdf</w:t>
            </w:r>
          </w:p>
        </w:tc>
        <w:tc>
          <w:tcPr>
            <w:tcW w:type="dxa" w:w="2520"/>
            <w:vAlign w:val="top"/>
          </w:tcPr>
          <w:p>
            <w:r>
              <w:t>CubeSat Design Specification Rev. 14.1, Cal Poly SLO; secciones de especificaciones generales y mecánicas.</w:t>
            </w:r>
          </w:p>
        </w:tc>
        <w:tc>
          <w:tcPr>
            <w:tcW w:type="dxa" w:w="2520"/>
            <w:vAlign w:val="top"/>
          </w:tcPr>
          <w:p>
            <w:r>
              <w:t>Sustenta restricciones y criterios CubeSat utilizados en masa/volumen, integración, materiales, venteo y otras condiciones aplicables.</w:t>
            </w:r>
          </w:p>
        </w:tc>
      </w:tr>
      <w:tr>
        <w:tc>
          <w:tcPr>
            <w:tcW w:type="dxa" w:w="2520"/>
            <w:vAlign w:val="top"/>
          </w:tcPr>
          <w:p>
            <w:r>
              <w:t>INT-04</w:t>
            </w:r>
          </w:p>
        </w:tc>
        <w:tc>
          <w:tcPr>
            <w:tcW w:type="dxa" w:w="2520"/>
            <w:vAlign w:val="top"/>
          </w:tcPr>
          <w:p>
            <w:r>
              <w:t>Sustentacion_Especificaciones_Tecnicas_CubeSat(1).docx</w:t>
            </w:r>
          </w:p>
        </w:tc>
        <w:tc>
          <w:tcPr>
            <w:tcW w:type="dxa" w:w="2520"/>
            <w:vAlign w:val="top"/>
          </w:tcPr>
          <w:p>
            <w:r>
              <w:t>Documento de sustentación de especificaciones técnicas; secciones de auditoría, cálculos y fuentes.</w:t>
            </w:r>
          </w:p>
        </w:tc>
        <w:tc>
          <w:tcPr>
            <w:tcW w:type="dxa" w:w="2520"/>
            <w:vAlign w:val="top"/>
          </w:tcPr>
          <w:p>
            <w:r>
              <w:t>Registra la revisión del trabajo previo, correcciones, cálculos preliminares, TBD y trazabilidad utilizada para cerrar la matriz.</w:t>
            </w:r>
          </w:p>
        </w:tc>
      </w:tr>
    </w:tbl>
    <w:p>
      <w:pPr>
        <w:pStyle w:val="Heading1"/>
      </w:pPr>
      <w:r>
        <w:t>3. Fuentes técnicas externas oficiales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Ref.</w:t>
            </w:r>
          </w:p>
        </w:tc>
        <w:tc>
          <w:tcPr>
            <w:tcW w:type="dxa" w:w="2016"/>
          </w:tcPr>
          <w:p>
            <w:r>
              <w:t>Fuente / referencia</w:t>
            </w:r>
          </w:p>
        </w:tc>
        <w:tc>
          <w:tcPr>
            <w:tcW w:type="dxa" w:w="2016"/>
          </w:tcPr>
          <w:p>
            <w:r>
              <w:t>Organización</w:t>
            </w:r>
          </w:p>
        </w:tc>
        <w:tc>
          <w:tcPr>
            <w:tcW w:type="dxa" w:w="2016"/>
          </w:tcPr>
          <w:p>
            <w:r>
              <w:t>Localización precisa</w:t>
            </w:r>
          </w:p>
        </w:tc>
        <w:tc>
          <w:tcPr>
            <w:tcW w:type="dxa" w:w="2016"/>
          </w:tcPr>
          <w:p>
            <w:r>
              <w:t>Enlace oficial</w:t>
            </w:r>
          </w:p>
        </w:tc>
      </w:tr>
      <w:tr>
        <w:tc>
          <w:tcPr>
            <w:tcW w:type="dxa" w:w="2016"/>
            <w:vAlign w:val="top"/>
          </w:tcPr>
          <w:p>
            <w:r>
              <w:t>EXT-01</w:t>
            </w:r>
          </w:p>
        </w:tc>
        <w:tc>
          <w:tcPr>
            <w:tcW w:type="dxa" w:w="2016"/>
            <w:vAlign w:val="top"/>
          </w:tcPr>
          <w:p>
            <w:r>
              <w:t>ECSS-E-ST-10C Rev.1 – System engineering general requirements (15 February 2017)</w:t>
            </w:r>
          </w:p>
        </w:tc>
        <w:tc>
          <w:tcPr>
            <w:tcW w:type="dxa" w:w="2016"/>
            <w:vAlign w:val="top"/>
          </w:tcPr>
          <w:p>
            <w:r>
              <w:t>European Cooperation for Space Standardization (ECSS)</w:t>
            </w:r>
          </w:p>
        </w:tc>
        <w:tc>
          <w:tcPr>
            <w:tcW w:type="dxa" w:w="2016"/>
            <w:vAlign w:val="top"/>
          </w:tcPr>
          <w:p>
            <w:r>
              <w:t>Documento completo; especialmente requisitos generales de ingeniería de sistemas, especificaciones, arquitectura, trazabilidad y presupuestos técnicos.</w:t>
            </w:r>
          </w:p>
        </w:tc>
        <w:tc>
          <w:tcPr>
            <w:tcW w:type="dxa" w:w="2016"/>
            <w:vAlign w:val="top"/>
          </w:tcPr>
          <w:p>
            <w:r>
              <w:t>https://ecss.nl/standard/ecss-e-st-10c-rev-1-system-engineering-general-requirements-15-february-2017/</w:t>
            </w:r>
          </w:p>
        </w:tc>
      </w:tr>
      <w:tr>
        <w:tc>
          <w:tcPr>
            <w:tcW w:type="dxa" w:w="2016"/>
            <w:vAlign w:val="top"/>
          </w:tcPr>
          <w:p>
            <w:r>
              <w:t>EXT-02</w:t>
            </w:r>
          </w:p>
        </w:tc>
        <w:tc>
          <w:tcPr>
            <w:tcW w:type="dxa" w:w="2016"/>
            <w:vAlign w:val="top"/>
          </w:tcPr>
          <w:p>
            <w:r>
              <w:t>ECSS-E-ST-20C Rev.2 – Electrical and electronic (8 April 2022)</w:t>
            </w:r>
          </w:p>
        </w:tc>
        <w:tc>
          <w:tcPr>
            <w:tcW w:type="dxa" w:w="2016"/>
            <w:vAlign w:val="top"/>
          </w:tcPr>
          <w:p>
            <w:r>
              <w:t>European Cooperation for Space Standardization (ECSS)</w:t>
            </w:r>
          </w:p>
        </w:tc>
        <w:tc>
          <w:tcPr>
            <w:tcW w:type="dxa" w:w="2016"/>
            <w:vAlign w:val="top"/>
          </w:tcPr>
          <w:p>
            <w:r>
              <w:t>Documento completo; requisitos y principios para ingeniería eléctrica, electrónica, EMC, alimentación y equipos electrónicos.</w:t>
            </w:r>
          </w:p>
        </w:tc>
        <w:tc>
          <w:tcPr>
            <w:tcW w:type="dxa" w:w="2016"/>
            <w:vAlign w:val="top"/>
          </w:tcPr>
          <w:p>
            <w:r>
              <w:t>https://ecss.nl/standard/ecss-e-st-20c-rev-2-electrical-and-electronic-8-april-2022/</w:t>
            </w:r>
          </w:p>
        </w:tc>
      </w:tr>
      <w:tr>
        <w:tc>
          <w:tcPr>
            <w:tcW w:type="dxa" w:w="2016"/>
            <w:vAlign w:val="top"/>
          </w:tcPr>
          <w:p>
            <w:r>
              <w:t>EXT-03</w:t>
            </w:r>
          </w:p>
        </w:tc>
        <w:tc>
          <w:tcPr>
            <w:tcW w:type="dxa" w:w="2016"/>
            <w:vAlign w:val="top"/>
          </w:tcPr>
          <w:p>
            <w:r>
              <w:t>CubeSat 101: Basic Concepts and Processes for First-Time CubeSat Developers, Revision dated October 2017</w:t>
            </w:r>
          </w:p>
        </w:tc>
        <w:tc>
          <w:tcPr>
            <w:tcW w:type="dxa" w:w="2016"/>
            <w:vAlign w:val="top"/>
          </w:tcPr>
          <w:p>
            <w:r>
              <w:t>NASA CubeSat Launch Initiative</w:t>
            </w:r>
          </w:p>
        </w:tc>
        <w:tc>
          <w:tcPr>
            <w:tcW w:type="dxa" w:w="2016"/>
            <w:vAlign w:val="top"/>
          </w:tcPr>
          <w:p>
            <w:r>
              <w:t>Documento completo; conceptos CubeSat, subsistemas, ADCS, interfaces, integración y proceso de desarrollo.</w:t>
            </w:r>
          </w:p>
        </w:tc>
        <w:tc>
          <w:tcPr>
            <w:tcW w:type="dxa" w:w="2016"/>
            <w:vAlign w:val="top"/>
          </w:tcPr>
          <w:p>
            <w:r>
              <w:t>https://science.nasa.gov/wp-content/uploads/2023/06/nasa_csli_cubesat_101_508.pdf</w:t>
            </w:r>
          </w:p>
        </w:tc>
      </w:tr>
      <w:tr>
        <w:tc>
          <w:tcPr>
            <w:tcW w:type="dxa" w:w="2016"/>
            <w:vAlign w:val="top"/>
          </w:tcPr>
          <w:p>
            <w:r>
              <w:t>EXT-04</w:t>
            </w:r>
          </w:p>
        </w:tc>
        <w:tc>
          <w:tcPr>
            <w:tcW w:type="dxa" w:w="2016"/>
            <w:vAlign w:val="top"/>
          </w:tcPr>
          <w:p>
            <w:r>
              <w:t>CubeSat Design Specification Rev. 14.1</w:t>
            </w:r>
          </w:p>
        </w:tc>
        <w:tc>
          <w:tcPr>
            <w:tcW w:type="dxa" w:w="2016"/>
            <w:vAlign w:val="top"/>
          </w:tcPr>
          <w:p>
            <w:r>
              <w:t>The CubeSat Program, Cal Poly SLO</w:t>
            </w:r>
          </w:p>
        </w:tc>
        <w:tc>
          <w:tcPr>
            <w:tcW w:type="dxa" w:w="2016"/>
            <w:vAlign w:val="top"/>
          </w:tcPr>
          <w:p>
            <w:r>
              <w:t>Sección 1.4 (Non-compliance), 1.6 (terminología normativa), sección 2 (CubeSat Specification), incluidas restricciones generales y mecánicas.</w:t>
            </w:r>
          </w:p>
        </w:tc>
        <w:tc>
          <w:tcPr>
            <w:tcW w:type="dxa" w:w="2016"/>
            <w:vAlign w:val="top"/>
          </w:tcPr>
          <w:p>
            <w:r>
              <w:t>https://www.nasa.gov/kennedy/launch-services-program/cubesat-launch-initiative/cubesat-launch-initiative-resources/</w:t>
            </w:r>
          </w:p>
        </w:tc>
      </w:tr>
      <w:tr>
        <w:tc>
          <w:tcPr>
            <w:tcW w:type="dxa" w:w="2016"/>
            <w:vAlign w:val="top"/>
          </w:tcPr>
          <w:p>
            <w:r>
              <w:t>EXT-05</w:t>
            </w:r>
          </w:p>
        </w:tc>
        <w:tc>
          <w:tcPr>
            <w:tcW w:type="dxa" w:w="2016"/>
            <w:vAlign w:val="top"/>
          </w:tcPr>
          <w:p>
            <w:r>
              <w:t>THEIA – Miniature. Multispectral. Calibrated.</w:t>
            </w:r>
          </w:p>
        </w:tc>
        <w:tc>
          <w:tcPr>
            <w:tcW w:type="dxa" w:w="2016"/>
            <w:vAlign w:val="top"/>
          </w:tcPr>
          <w:p>
            <w:r>
              <w:t>Tartu Observatory Space Exploration Group</w:t>
            </w:r>
          </w:p>
        </w:tc>
        <w:tc>
          <w:tcPr>
            <w:tcW w:type="dxa" w:w="2016"/>
            <w:vAlign w:val="top"/>
          </w:tcPr>
          <w:p>
            <w:r>
              <w:t>Descripción y especificaciones del instrumento THEIA: GSD, FOV, resolución, número de bandas, masa y compatibilidad 1U.</w:t>
            </w:r>
          </w:p>
        </w:tc>
        <w:tc>
          <w:tcPr>
            <w:tcW w:type="dxa" w:w="2016"/>
            <w:vAlign w:val="top"/>
          </w:tcPr>
          <w:p>
            <w:r>
              <w:t>https://tospexgroup.space/projects/theia/</w:t>
            </w:r>
          </w:p>
        </w:tc>
      </w:tr>
      <w:tr>
        <w:tc>
          <w:tcPr>
            <w:tcW w:type="dxa" w:w="2016"/>
            <w:vAlign w:val="top"/>
          </w:tcPr>
          <w:p>
            <w:r>
              <w:t>EXT-06</w:t>
            </w:r>
          </w:p>
        </w:tc>
        <w:tc>
          <w:tcPr>
            <w:tcW w:type="dxa" w:w="2016"/>
            <w:vAlign w:val="top"/>
          </w:tcPr>
          <w:p>
            <w:r>
              <w:t>What are the band designations for the Landsat satellites?</w:t>
            </w:r>
          </w:p>
        </w:tc>
        <w:tc>
          <w:tcPr>
            <w:tcW w:type="dxa" w:w="2016"/>
            <w:vAlign w:val="top"/>
          </w:tcPr>
          <w:p>
            <w:r>
              <w:t>U.S. Geological Survey (USGS)</w:t>
            </w:r>
          </w:p>
        </w:tc>
        <w:tc>
          <w:tcPr>
            <w:tcW w:type="dxa" w:w="2016"/>
            <w:vAlign w:val="top"/>
          </w:tcPr>
          <w:p>
            <w:r>
              <w:t>Tabla de bandas Landsat y rangos espectrales; referencia para la selección y justificación conceptual de bandas de observación.</w:t>
            </w:r>
          </w:p>
        </w:tc>
        <w:tc>
          <w:tcPr>
            <w:tcW w:type="dxa" w:w="2016"/>
            <w:vAlign w:val="top"/>
          </w:tcPr>
          <w:p>
            <w:r>
              <w:t>https://www.usgs.gov/faqs/what-are-band-designations-landsat-satellites</w:t>
            </w:r>
          </w:p>
        </w:tc>
      </w:tr>
      <w:tr>
        <w:tc>
          <w:tcPr>
            <w:tcW w:type="dxa" w:w="2016"/>
            <w:vAlign w:val="top"/>
          </w:tcPr>
          <w:p>
            <w:r>
              <w:t>EXT-07</w:t>
            </w:r>
          </w:p>
        </w:tc>
        <w:tc>
          <w:tcPr>
            <w:tcW w:type="dxa" w:w="2016"/>
            <w:vAlign w:val="top"/>
          </w:tcPr>
          <w:p>
            <w:r>
              <w:t>Sentinel-2 – Instrument</w:t>
            </w:r>
          </w:p>
        </w:tc>
        <w:tc>
          <w:tcPr>
            <w:tcW w:type="dxa" w:w="2016"/>
            <w:vAlign w:val="top"/>
          </w:tcPr>
          <w:p>
            <w:r>
              <w:t>European Space Agency (ESA)</w:t>
            </w:r>
          </w:p>
        </w:tc>
        <w:tc>
          <w:tcPr>
            <w:tcW w:type="dxa" w:w="2016"/>
            <w:vAlign w:val="top"/>
          </w:tcPr>
          <w:p>
            <w:r>
              <w:t>Descripción del instrumento MSI, concepto multiespectral, bandas, red edge, adquisición y datos para observación de vegetación.</w:t>
            </w:r>
          </w:p>
        </w:tc>
        <w:tc>
          <w:tcPr>
            <w:tcW w:type="dxa" w:w="2016"/>
            <w:vAlign w:val="top"/>
          </w:tcPr>
          <w:p>
            <w:r>
              <w:t>https://www.esa.int/Applications/Observing_the_Earth/Copernicus/Sentinel-2/Instrument</w:t>
            </w:r>
          </w:p>
        </w:tc>
      </w:tr>
    </w:tbl>
    <w:p>
      <w:pPr>
        <w:pStyle w:val="Heading1"/>
      </w:pPr>
      <w:r>
        <w:t>4. Relación entre las fuentes y las decisiones del proyecto</w:t>
      </w:r>
    </w:p>
    <w:tbl>
      <w:tblPr>
        <w:tblStyle w:val="TableGrid"/>
        <w:tblW w:type="auto" w:w="0"/>
        <w:tblLook w:firstColumn="1" w:firstRow="1" w:lastColumn="0" w:lastRow="0" w:noHBand="0" w:noVBand="1" w:val="04A0"/>
      </w:tblPr>
      <w:tblGrid>
        <w:gridCol w:w="3360"/>
        <w:gridCol w:w="3360"/>
        <w:gridCol w:w="3360"/>
      </w:tblGrid>
      <w:tr>
        <w:tc>
          <w:tcPr>
            <w:tcW w:type="dxa" w:w="3360"/>
          </w:tcPr>
          <w:p>
            <w:r>
              <w:t>Tema</w:t>
            </w:r>
          </w:p>
        </w:tc>
        <w:tc>
          <w:tcPr>
            <w:tcW w:type="dxa" w:w="3360"/>
          </w:tcPr>
          <w:p>
            <w:r>
              <w:t>Fuentes</w:t>
            </w:r>
          </w:p>
        </w:tc>
        <w:tc>
          <w:tcPr>
            <w:tcW w:type="dxa" w:w="3360"/>
          </w:tcPr>
          <w:p>
            <w:r>
              <w:t>Aplicación</w:t>
            </w:r>
          </w:p>
        </w:tc>
      </w:tr>
      <w:tr>
        <w:tc>
          <w:tcPr>
            <w:tcW w:type="dxa" w:w="3360"/>
          </w:tcPr>
          <w:p>
            <w:r>
              <w:t>Misión y alcance</w:t>
            </w:r>
          </w:p>
        </w:tc>
        <w:tc>
          <w:tcPr>
            <w:tcW w:type="dxa" w:w="3360"/>
          </w:tcPr>
          <w:p>
            <w:r>
              <w:t>INT-02</w:t>
            </w:r>
          </w:p>
        </w:tc>
        <w:tc>
          <w:tcPr>
            <w:tcW w:type="dxa" w:w="3360"/>
          </w:tcPr>
          <w:p>
            <w:r>
              <w:t>La descripción oficial del proyecto es la fuente primaria.</w:t>
            </w:r>
          </w:p>
        </w:tc>
      </w:tr>
      <w:tr>
        <w:tc>
          <w:tcPr>
            <w:tcW w:type="dxa" w:w="3360"/>
          </w:tcPr>
          <w:p>
            <w:r>
              <w:t>Proceso de ingeniería y trazabilidad</w:t>
            </w:r>
          </w:p>
        </w:tc>
        <w:tc>
          <w:tcPr>
            <w:tcW w:type="dxa" w:w="3360"/>
          </w:tcPr>
          <w:p>
            <w:r>
              <w:t>INT-01 + EXT-01</w:t>
            </w:r>
          </w:p>
        </w:tc>
        <w:tc>
          <w:tcPr>
            <w:tcW w:type="dxa" w:w="3360"/>
          </w:tcPr>
          <w:p>
            <w:r>
              <w:t>La guía define el procedimiento del laboratorio y ECSS aporta el marco general de ingeniería de sistemas.</w:t>
            </w:r>
          </w:p>
        </w:tc>
      </w:tr>
      <w:tr>
        <w:tc>
          <w:tcPr>
            <w:tcW w:type="dxa" w:w="3360"/>
          </w:tcPr>
          <w:p>
            <w:r>
              <w:t>Restricciones CubeSat</w:t>
            </w:r>
          </w:p>
        </w:tc>
        <w:tc>
          <w:tcPr>
            <w:tcW w:type="dxa" w:w="3360"/>
          </w:tcPr>
          <w:p>
            <w:r>
              <w:t>INT-03 + EXT-03</w:t>
            </w:r>
          </w:p>
        </w:tc>
        <w:tc>
          <w:tcPr>
            <w:tcW w:type="dxa" w:w="3360"/>
          </w:tcPr>
          <w:p>
            <w:r>
              <w:t>CDS Rev. 14.1 y NASA CubeSat 101 sirven como referencias técnicas generales; las condiciones particulares de lanzamiento prevalecerían en una misión real.</w:t>
            </w:r>
          </w:p>
        </w:tc>
      </w:tr>
      <w:tr>
        <w:tc>
          <w:tcPr>
            <w:tcW w:type="dxa" w:w="3360"/>
          </w:tcPr>
          <w:p>
            <w:r>
              <w:t>Ingeniería eléctrica/electrónica</w:t>
            </w:r>
          </w:p>
        </w:tc>
        <w:tc>
          <w:tcPr>
            <w:tcW w:type="dxa" w:w="3360"/>
          </w:tcPr>
          <w:p>
            <w:r>
              <w:t>EXT-02</w:t>
            </w:r>
          </w:p>
        </w:tc>
        <w:tc>
          <w:tcPr>
            <w:tcW w:type="dxa" w:w="3360"/>
          </w:tcPr>
          <w:p>
            <w:r>
              <w:t>Se utiliza como referencia para criterios eléctricos/electrónicos y EMC cuando tienen consecuencia directa en el diseño.</w:t>
            </w:r>
          </w:p>
        </w:tc>
      </w:tr>
      <w:tr>
        <w:tc>
          <w:tcPr>
            <w:tcW w:type="dxa" w:w="3360"/>
          </w:tcPr>
          <w:p>
            <w:r>
              <w:t>Payload multiespectral</w:t>
            </w:r>
          </w:p>
        </w:tc>
        <w:tc>
          <w:tcPr>
            <w:tcW w:type="dxa" w:w="3360"/>
          </w:tcPr>
          <w:p>
            <w:r>
              <w:t>INT-02 + EXT-05 + EXT-06 + EXT-07</w:t>
            </w:r>
          </w:p>
        </w:tc>
        <w:tc>
          <w:tcPr>
            <w:tcW w:type="dxa" w:w="3360"/>
          </w:tcPr>
          <w:p>
            <w:r>
              <w:t>La misión define la necesidad de imagen multiespectral; THEIA aporta un referente de nanosatélite y USGS/ESA aportan contexto espectral y de observación de vegetación.</w:t>
            </w:r>
          </w:p>
        </w:tc>
      </w:tr>
      <w:tr>
        <w:tc>
          <w:tcPr>
            <w:tcW w:type="dxa" w:w="3360"/>
          </w:tcPr>
          <w:p>
            <w:r>
              <w:t>Cálculos preliminares</w:t>
            </w:r>
          </w:p>
        </w:tc>
        <w:tc>
          <w:tcPr>
            <w:tcW w:type="dxa" w:w="3360"/>
          </w:tcPr>
          <w:p>
            <w:r>
              <w:t>INT-04 + fuentes técnicas asociadas</w:t>
            </w:r>
          </w:p>
        </w:tc>
        <w:tc>
          <w:tcPr>
            <w:tcW w:type="dxa" w:w="3360"/>
          </w:tcPr>
          <w:p>
            <w:r>
              <w:t>Los cálculos se documentan en la sustentación y se mantienen como exploratorios cuando todavía no corresponden a una especificación cerrada.</w:t>
            </w:r>
          </w:p>
        </w:tc>
      </w:tr>
    </w:tbl>
    <w:p>
      <w:pPr>
        <w:pStyle w:val="Heading1"/>
      </w:pPr>
      <w:r>
        <w:t>5. Criterio de uso de fuentes</w:t>
      </w:r>
    </w:p>
    <w:p>
      <w:r>
        <w:t>Las páginas comerciales, blogs y respuestas generadas por herramientas de inteligencia artificial no se utilizaron como sustituto de hojas de datos, normas, artículos técnicos o documentación oficial. Este criterio coincide con la propia guía del laboratorio, que indica que esas fuentes pueden orientar la búsqueda, pero no sustituyen la documentación técnica que sustenta una decisión.</w:t>
      </w:r>
    </w:p>
    <w:p>
      <w:r>
        <w:t>En particular, las fuentes externas de este listado se conservaron porque corresponden a organismos, programas u organizaciones responsables de los documentos o instrumentos descritos. Los documentos INT-01 a INT-04 son los materiales de trabajo del propio curso/proyecto y constituyen la referencia principal para las decisiones específicas de esta práctica.</w:t>
      </w:r>
    </w:p>
    <w:p>
      <w:pPr>
        <w:pStyle w:val="Heading1"/>
      </w:pPr>
      <w:r>
        <w:t>6. Nota sobre enlaces y versiones</w:t>
      </w:r>
    </w:p>
    <w:p>
      <w:r>
        <w:t>Los documentos normativos pueden actualizarse o ser sustituidos por revisiones posteriores. Para esta práctica se conserva la revisión que corresponde a los documentos utilizados durante el desarrollo del Laboratorio 3. En una fase posterior de diseño, cualquier requisito que dependa de una misión de lanzamiento real deberá contrastarse además con el proveedor de lanzamiento y sus requisitos vigentes.</w:t>
      </w:r>
    </w:p>
    <w:p>
      <w:pPr>
        <w:pStyle w:val="Heading1"/>
      </w:pPr>
      <w:r>
        <w:t>7. Referencias web verificadas</w:t>
      </w:r>
    </w:p>
    <w:p>
      <w:pPr>
        <w:pStyle w:val="ListBullet"/>
      </w:pPr>
      <w:r>
        <w:t>ECSS-E-ST-10C Rev.1: página oficial ECSS con documento y anexos.</w:t>
      </w:r>
    </w:p>
    <w:p>
      <w:pPr>
        <w:pStyle w:val="ListBullet"/>
      </w:pPr>
      <w:r>
        <w:t>ECSS-E-ST-20C Rev.2: página oficial ECSS con documento y anexos.</w:t>
      </w:r>
    </w:p>
    <w:p>
      <w:pPr>
        <w:pStyle w:val="ListBullet"/>
      </w:pPr>
      <w:r>
        <w:t>NASA CubeSat Launch Initiative Resources: página oficial que enlaza CubeSat 101 y las CubeSat Design Specifications.</w:t>
      </w:r>
    </w:p>
    <w:p>
      <w:pPr>
        <w:pStyle w:val="ListBullet"/>
      </w:pPr>
      <w:r>
        <w:t>NASA CubeSat 101: PDF oficial de NASA, revisión de octubre de 2017.</w:t>
      </w:r>
    </w:p>
    <w:p>
      <w:pPr>
        <w:pStyle w:val="ListBullet"/>
      </w:pPr>
      <w:r>
        <w:t>THEIA: página oficial del Tartu Observatory Space Exploration Group.</w:t>
      </w:r>
    </w:p>
    <w:p>
      <w:pPr>
        <w:pStyle w:val="ListBullet"/>
      </w:pPr>
      <w:r>
        <w:t>USGS Landsat band designations: página oficial del U.S. Geological Survey.</w:t>
      </w:r>
    </w:p>
    <w:p>
      <w:pPr>
        <w:pStyle w:val="ListBullet"/>
      </w:pPr>
      <w:r>
        <w:t>ESA Sentinel-2 Instrument: página oficial de la European Space Agency.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