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2E75B6"/>
          <w:sz w:val="32"/>
          <w:szCs w:val="32"/>
        </w:rPr>
        <w:t xml:space="preserve">METODOLOGIA</w:t>
      </w:r>
    </w:p>
    <w:p>
      <w:pPr>
        <w:spacing w:after="600"/>
        <w:jc w:val="center"/>
      </w:pPr>
      <w:r>
        <w:rPr>
          <w:rFonts w:ascii="Arial" w:cs="Arial" w:eastAsia="Arial" w:hAnsi="Arial"/>
          <w:b/>
          <w:bCs/>
          <w:sz w:val="26"/>
          <w:szCs w:val="26"/>
        </w:rPr>
        <w:t xml:space="preserve">Dashboard Interativo de Vigilância Epidemiológica Aumentada (DIVEA)</w:t>
      </w:r>
    </w:p>
    <w:p>
      <w:pPr>
        <w:pStyle w:val="Heading1"/>
      </w:pPr>
      <w:r>
        <w:rPr>
          <w:rFonts w:ascii="Arial" w:cs="Arial" w:eastAsia="Arial" w:hAnsi="Arial"/>
          <w:b/>
          <w:bCs/>
          <w:sz w:val="28"/>
          <w:szCs w:val="28"/>
        </w:rPr>
        <w:t xml:space="preserve">1. Aquisição e Integração dos Dados</w:t>
      </w:r>
    </w:p>
    <w:p>
      <w:pPr>
        <w:spacing w:after="200"/>
        <w:jc w:val="both"/>
      </w:pPr>
      <w:r>
        <w:rPr>
          <w:rFonts w:ascii="Arial" w:cs="Arial" w:eastAsia="Arial" w:hAnsi="Arial"/>
          <w:sz w:val="24"/>
          <w:szCs w:val="24"/>
        </w:rPr>
        <w:t xml:space="preserve">Os dados utilizados foram obtidos do Sistema de Informação de Vigilância Epidemiológica da Gripe (SIVEP-Gripe), disponibilizados pelo Ministério da Saúde na forma de arquivos no formato DBF (dBase File), compreendendo o período de 2019 a 2026. Os arquivos foram lidos em ambiente Python utilizando a biblioteca simpledbf, com codificação latin-1, e integrados em um único dataframe por concatenação vertical, totalizando 373.011 registros e 222 variáveis.</w:t>
      </w:r>
    </w:p>
    <w:p>
      <w:pPr>
        <w:pStyle w:val="Heading1"/>
      </w:pPr>
      <w:r>
        <w:rPr>
          <w:rFonts w:ascii="Arial" w:cs="Arial" w:eastAsia="Arial" w:hAnsi="Arial"/>
          <w:b/>
          <w:bCs/>
          <w:sz w:val="28"/>
          <w:szCs w:val="28"/>
        </w:rPr>
        <w:t xml:space="preserve">2. Seleção de Variáveis</w:t>
      </w:r>
    </w:p>
    <w:p>
      <w:pPr>
        <w:spacing w:after="200"/>
        <w:jc w:val="both"/>
      </w:pPr>
      <w:r>
        <w:rPr>
          <w:rFonts w:ascii="Arial" w:cs="Arial" w:eastAsia="Arial" w:hAnsi="Arial"/>
          <w:sz w:val="24"/>
          <w:szCs w:val="24"/>
        </w:rPr>
        <w:t xml:space="preserve">Das 222 variáveis disponíveis, foram selecionadas 32 com relevância direta para os objetivos do projeto, abrangendo quatro domínios: variáveis temporais (data de notificação, semana epidemiológica, data de início dos sintomas); variáveis geográficas (código do município de notificação e de residência); variáveis demográficas e clínicas (sexo, idade, gestação, evolução, internação em UTI, uso de ventilação mecânica, classificação final); e variáveis virológicas (resultado de PCR para Influenza, SARS-CoV-2, VSR, Parainfluenza, Adenovírus, Metapneumovírus, Bocavírus e Rinovírus). Essa redução diminuiu o consumo de memória de 3,5 GB para 549 MB.</w:t>
      </w:r>
    </w:p>
    <w:p>
      <w:pPr>
        <w:pStyle w:val="Heading1"/>
      </w:pPr>
      <w:r>
        <w:rPr>
          <w:rFonts w:ascii="Arial" w:cs="Arial" w:eastAsia="Arial" w:hAnsi="Arial"/>
          <w:b/>
          <w:bCs/>
          <w:sz w:val="28"/>
          <w:szCs w:val="28"/>
        </w:rPr>
        <w:t xml:space="preserve">3. Recorte Geográfico</w:t>
      </w:r>
    </w:p>
    <w:p>
      <w:pPr>
        <w:spacing w:after="200"/>
        <w:jc w:val="both"/>
      </w:pPr>
      <w:r>
        <w:rPr>
          <w:rFonts w:ascii="Arial" w:cs="Arial" w:eastAsia="Arial" w:hAnsi="Arial"/>
          <w:sz w:val="24"/>
          <w:szCs w:val="24"/>
        </w:rPr>
        <w:t xml:space="preserve">O dataset foi filtrado para o estado do Paraná utilizando o código IBGE de município de residência (prefixo 41), resultando em 369.588 registros distribuídos em 399 municípios. Um segundo recorte foi aplicado para os 30 municípios da 15ª Regional de Saúde de Maringá, resultando em 34.006 registros para as análises regionais específicas.</w:t>
      </w:r>
    </w:p>
    <w:p>
      <w:pPr>
        <w:pStyle w:val="Heading1"/>
      </w:pPr>
      <w:r>
        <w:rPr>
          <w:rFonts w:ascii="Arial" w:cs="Arial" w:eastAsia="Arial" w:hAnsi="Arial"/>
          <w:b/>
          <w:bCs/>
          <w:sz w:val="28"/>
          <w:szCs w:val="28"/>
        </w:rPr>
        <w:t xml:space="preserve">4. Construção das Séries Temporais</w:t>
      </w:r>
    </w:p>
    <w:p>
      <w:pPr>
        <w:spacing w:after="200"/>
        <w:jc w:val="both"/>
      </w:pPr>
      <w:r>
        <w:rPr>
          <w:rFonts w:ascii="Arial" w:cs="Arial" w:eastAsia="Arial" w:hAnsi="Arial"/>
          <w:sz w:val="24"/>
          <w:szCs w:val="24"/>
        </w:rPr>
        <w:t xml:space="preserve">Os registros foram agregados por semana epidemiológica a partir da data de notificação, gerando séries temporais com 382 semanas (2018–2026) para o Paraná e 379 semanas para a 15ª RS. Além da série geral de casos de SRAG, foram construídas séries específicas por agente etiológico confirmado laboratorialmente: Influenza (n=9.835 positivos no Paraná), SARS-CoV-2 (n=127.165 detectados) e VSR (n=15.220 detectados). As séries foram armazenadas no formato Parquet para uso nas etapas subsequentes.</w:t>
      </w:r>
    </w:p>
    <w:p>
      <w:pPr>
        <w:pStyle w:val="Heading1"/>
      </w:pPr>
      <w:r>
        <w:rPr>
          <w:rFonts w:ascii="Arial" w:cs="Arial" w:eastAsia="Arial" w:hAnsi="Arial"/>
          <w:b/>
          <w:bCs/>
          <w:sz w:val="28"/>
          <w:szCs w:val="28"/>
        </w:rPr>
        <w:t xml:space="preserve">5. Desenvolvimento dos Modelos Preditivos LSTM</w:t>
      </w:r>
    </w:p>
    <w:p>
      <w:pPr>
        <w:spacing w:after="200"/>
        <w:jc w:val="both"/>
      </w:pPr>
      <w:r>
        <w:rPr>
          <w:rFonts w:ascii="Arial" w:cs="Arial" w:eastAsia="Arial" w:hAnsi="Arial"/>
          <w:sz w:val="24"/>
          <w:szCs w:val="24"/>
        </w:rPr>
        <w:t xml:space="preserve">Foram desenvolvidos três modelos de Long Short-Term Memory (LSTM) para previsão de curto prazo da incidência semanal, com horizonte de quatro semanas: um modelo para SRAG total, um para Influenza e um para VSR. A arquitetura de cada modelo consiste em duas camadas LSTM com 64 unidades ocultas, dropout de 0,2 entre camadas, e uma camada densa de saída com quatro neurônios correspondentes às quatro semanas de previsão. Os dados foram normalizados pelo método Min-Max antes do treinamento.</w:t>
      </w:r>
    </w:p>
    <w:p>
      <w:pPr>
        <w:spacing w:after="200"/>
        <w:jc w:val="both"/>
      </w:pPr>
      <w:r>
        <w:rPr>
          <w:rFonts w:ascii="Arial" w:cs="Arial" w:eastAsia="Arial" w:hAnsi="Arial"/>
          <w:sz w:val="24"/>
          <w:szCs w:val="24"/>
        </w:rPr>
        <w:t xml:space="preserve">As janelas temporais foram construídas com 12 semanas de entrada para prever as 4 semanas seguintes, gerando 366 amostras por modelo. O conjunto foi dividido em 80% para treinamento (292 amostras) e 20% para teste (74 amostras), respeitando a ordem cronológica para evitar vazamento de dados (data leakage). Para o modelo de Influenza, o período pandêmico de 2020–2021 foi excluído da série de treinamento devido à supressão artificial da circulação viral nesse período, resultando em 278 semanas efetivas. Para o VSR, a série completa foi mantida, pois a supressão pandêmica foi parcial e faz parte do padrão histórico real. Todos os modelos foram treinados por 200 épocas com otimizador Adam (taxa de aprendizado 0,001) e função de perda MSE (Mean Squared Error), utilizando GPU (NVIDIA RTX 5060 Ti, 16 GB VRAM, CUDA 12.8).</w:t>
      </w:r>
    </w:p>
    <w:p>
      <w:pPr>
        <w:pStyle w:val="Heading1"/>
      </w:pPr>
      <w:r>
        <w:rPr>
          <w:rFonts w:ascii="Arial" w:cs="Arial" w:eastAsia="Arial" w:hAnsi="Arial"/>
          <w:b/>
          <w:bCs/>
          <w:sz w:val="28"/>
          <w:szCs w:val="28"/>
        </w:rPr>
        <w:t xml:space="preserve">6. Avaliação dos Modelos Preditivos</w:t>
      </w:r>
    </w:p>
    <w:p>
      <w:pPr>
        <w:spacing w:after="200"/>
        <w:jc w:val="both"/>
      </w:pPr>
      <w:r>
        <w:rPr>
          <w:rFonts w:ascii="Arial" w:cs="Arial" w:eastAsia="Arial" w:hAnsi="Arial"/>
          <w:sz w:val="24"/>
          <w:szCs w:val="24"/>
        </w:rPr>
        <w:t xml:space="preserve">O desempenho foi avaliado no conjunto de teste pelas métricas MAE (Mean Absolute Error) e RMSE (Root Mean Squared Error) para cada semana do horizonte de previsão, conforme Tabela 1.</w:t>
      </w:r>
    </w:p>
    <w:p>
      <w:pPr>
        <w:spacing w:after="100" w:before="200"/>
      </w:pPr>
      <w:r>
        <w:rPr>
          <w:rFonts w:ascii="Arial" w:cs="Arial" w:eastAsia="Arial" w:hAnsi="Arial"/>
          <w:i/>
          <w:iCs/>
          <w:sz w:val="20"/>
          <w:szCs w:val="20"/>
        </w:rPr>
        <w:t xml:space="preserve">Tabela 1. Desempenho dos modelos LSTM por vírus e horizonte de previsão.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7"/>
        <w:gridCol w:w="1556"/>
        <w:gridCol w:w="1557"/>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Média teste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+1 (erro %)</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+4 (erro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SRAG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530 casos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106,7 (20%)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206,2 (39%)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Influenza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 casos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22,0 (43%)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34,5 (68%)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 casos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17,9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32,8 (54%)</w:t>
            </w:r>
          </w:p>
        </w:tc>
      </w:tr>
    </w:tbl>
    <w:p>
      <w:pPr>
        <w:spacing w:after="200"/>
      </w:pPr>
    </w:p>
    <w:p>
      <w:pPr>
        <w:spacing w:after="200"/>
        <w:jc w:val="both"/>
      </w:pPr>
      <w:r>
        <w:rPr>
          <w:rFonts w:ascii="Arial" w:cs="Arial" w:eastAsia="Arial" w:hAnsi="Arial"/>
          <w:sz w:val="24"/>
          <w:szCs w:val="24"/>
        </w:rPr>
        <w:t xml:space="preserve">Os três modelos apresentaram comportamento de suavização típico de redes LSTM em séries temporais epidemiológicas, com subestimação dos picos máximos. Esse padrão reflete uma limitação dos dados de treinamento — os picos de 2025 representam os maiores valores históricos da série, não observados nas janelas de treinamento. A incorporação de dados históricos anteriores a 2019 e a otimização de hiperparâmetros são etapas previstas para refinamento dos modelos em fases posteriores do projeto.</w:t>
      </w:r>
    </w:p>
    <w:p>
      <w:pPr>
        <w:pStyle w:val="Heading1"/>
      </w:pPr>
      <w:r>
        <w:rPr>
          <w:rFonts w:ascii="Arial" w:cs="Arial" w:eastAsia="Arial" w:hAnsi="Arial"/>
          <w:b/>
          <w:bCs/>
          <w:sz w:val="28"/>
          <w:szCs w:val="28"/>
        </w:rPr>
        <w:t xml:space="preserve">7. Análise de Clusterização Espaço-Temporal</w:t>
      </w:r>
    </w:p>
    <w:p>
      <w:pPr>
        <w:spacing w:after="200"/>
        <w:jc w:val="both"/>
      </w:pPr>
      <w:r>
        <w:rPr>
          <w:rFonts w:ascii="Arial" w:cs="Arial" w:eastAsia="Arial" w:hAnsi="Arial"/>
          <w:sz w:val="24"/>
          <w:szCs w:val="24"/>
        </w:rPr>
        <w:t xml:space="preserve">A distribuição espacial dos casos de SRAG foi analisada por meio do índice de Moran global e do LISA (Local Indicators of Spatial Association), utilizando as bibliotecas libpysal e esda. A matriz de pesos espaciais foi construída pelo critério de contiguidade Queen, com padronização por linha. O shapefile dos municípios do Paraná foi obtido do IBGE (2024) e integrado aos dados do SIVEP-Gripe pelo código de município de residência de 6 dígitos.</w:t>
      </w:r>
    </w:p>
    <w:p>
      <w:pPr>
        <w:spacing w:after="200"/>
        <w:jc w:val="both"/>
      </w:pPr>
      <w:r>
        <w:rPr>
          <w:rFonts w:ascii="Arial" w:cs="Arial" w:eastAsia="Arial" w:hAnsi="Arial"/>
          <w:sz w:val="24"/>
          <w:szCs w:val="24"/>
        </w:rPr>
        <w:t xml:space="preserve">Para o ano de 2025, o índice de Moran global foi de 0,1165 (p=0,005), indicando autocorrelação espacial positiva estatisticamente significativa — municípios com maior incidência tendem a ser vizinhos de municípios com maior incidência. A análise LISA identificou 14 municípios em clusters HH (High-High, alto-alto) com p&lt;0,05, concentrados em três regiões: região metropolitana de Curitiba (Curitiba, São José dos Pinhais, Colombo, Araucária, Almirante Tamandaré, Fazenda Rio Grande, Pinhais e Campo Largo), região norte do Paraná (Cambé, Ibiporã, Sarandi e Arapongas) e região oeste (Toledo e Ouro Verde do Oeste).</w:t>
      </w:r>
    </w:p>
    <w:p>
      <w:pPr>
        <w:pStyle w:val="Heading1"/>
      </w:pPr>
      <w:r>
        <w:rPr>
          <w:rFonts w:ascii="Arial" w:cs="Arial" w:eastAsia="Arial" w:hAnsi="Arial"/>
          <w:b/>
          <w:bCs/>
          <w:sz w:val="28"/>
          <w:szCs w:val="28"/>
        </w:rPr>
        <w:t xml:space="preserve">8. Canal Endêmico da 15ª RS</w:t>
      </w:r>
    </w:p>
    <w:p>
      <w:pPr>
        <w:spacing w:after="200"/>
        <w:jc w:val="both"/>
      </w:pPr>
      <w:r>
        <w:rPr>
          <w:rFonts w:ascii="Arial" w:cs="Arial" w:eastAsia="Arial" w:hAnsi="Arial"/>
          <w:sz w:val="24"/>
          <w:szCs w:val="24"/>
        </w:rPr>
        <w:t xml:space="preserve">Para a 15ª Regional de Saúde de Maringá, foi construído um canal endêmico semanal com base nos dados históricos de 2019 a 2026, excluindo os anos pandêmicos de 2020 e 2021. Para cada semana epidemiológica, foram calculados a média histórica, o desvio padrão e os limiares de alerta (média + 2 desvios padrão) e de epidemia (média + 3 desvios padrão), definindo quatro zonas de atividade: segura, alerta, risco e epidemia. O canal endêmico foi implementado como componente interativo do painel da 15ª RS, com filtragem dinâmica por município.</w:t>
      </w:r>
    </w:p>
    <w:p>
      <w:pPr>
        <w:pStyle w:val="Heading1"/>
      </w:pPr>
      <w:r>
        <w:rPr>
          <w:rFonts w:ascii="Arial" w:cs="Arial" w:eastAsia="Arial" w:hAnsi="Arial"/>
          <w:b/>
          <w:bCs/>
          <w:sz w:val="28"/>
          <w:szCs w:val="28"/>
        </w:rPr>
        <w:t xml:space="preserve">9. Desenvolvimento do Dashboard Interativo</w:t>
      </w:r>
    </w:p>
    <w:p>
      <w:pPr>
        <w:spacing w:after="200"/>
        <w:jc w:val="both"/>
      </w:pPr>
      <w:r>
        <w:rPr>
          <w:rFonts w:ascii="Arial" w:cs="Arial" w:eastAsia="Arial" w:hAnsi="Arial"/>
          <w:sz w:val="24"/>
          <w:szCs w:val="24"/>
        </w:rPr>
        <w:t xml:space="preserve">O protótipo funcional do Dashboard Interativo de Vigilância Epidemiológica Aumentada (DIVEA) foi desenvolvido em Python utilizando o framework Streamlit. Foram desenvolvidos dois painéis complementares: o painel geral do Paraná (DIVEA) e o painel regional da 15ª RS de Maringá.</w:t>
      </w:r>
    </w:p>
    <w:p>
      <w:pPr>
        <w:pStyle w:val="Heading2"/>
      </w:pPr>
      <w:r>
        <w:rPr>
          <w:rFonts w:ascii="Arial" w:cs="Arial" w:eastAsia="Arial" w:hAnsi="Arial"/>
          <w:b/>
          <w:bCs/>
          <w:sz w:val="24"/>
          <w:szCs w:val="24"/>
        </w:rPr>
        <w:t xml:space="preserve">9.1 Painel Geral — DIVEA (Paraná)</w:t>
      </w:r>
    </w:p>
    <w:p>
      <w:pPr>
        <w:spacing w:after="200"/>
        <w:jc w:val="both"/>
      </w:pPr>
      <w:r>
        <w:rPr>
          <w:rFonts w:ascii="Arial" w:cs="Arial" w:eastAsia="Arial" w:hAnsi="Arial"/>
          <w:sz w:val="24"/>
          <w:szCs w:val="24"/>
        </w:rPr>
        <w:t xml:space="preserve">O painel geral integra: métricas de situação atual (total de casos, óbitos, internações em UTI e municípios afetados) com filtragem por ano; série temporal histórica semanal de SRAG; análise LISA com mapa de clusters espaciais e tabela de municípios em alerta; e previsão para as próximas quatro semanas pelos três modelos LSTM (SRAG total, Influenza e VSR).</w:t>
      </w:r>
    </w:p>
    <w:p>
      <w:pPr>
        <w:pStyle w:val="Heading2"/>
      </w:pPr>
      <w:r>
        <w:rPr>
          <w:rFonts w:ascii="Arial" w:cs="Arial" w:eastAsia="Arial" w:hAnsi="Arial"/>
          <w:b/>
          <w:bCs/>
          <w:sz w:val="24"/>
          <w:szCs w:val="24"/>
        </w:rPr>
        <w:t xml:space="preserve">9.2 Painel Regional — 15ª RS de Maringá</w:t>
      </w:r>
    </w:p>
    <w:p>
      <w:pPr>
        <w:spacing w:after="200"/>
        <w:jc w:val="both"/>
      </w:pPr>
      <w:r>
        <w:rPr>
          <w:rFonts w:ascii="Arial" w:cs="Arial" w:eastAsia="Arial" w:hAnsi="Arial"/>
          <w:sz w:val="24"/>
          <w:szCs w:val="24"/>
        </w:rPr>
        <w:t xml:space="preserve">O painel regional da 15ª RS integra: filtros por ano e por município; métricas de situação atual; canal endêmico com visualização das zonas de atividade epidêmica; mapa de distribuição geográfica dos casos nos 30 municípios; e indicadores de circulação viral (Influenza, SARS-CoV-2 e VSR).</w:t>
      </w:r>
    </w:p>
    <w:p>
      <w:pPr>
        <w:pStyle w:val="Heading2"/>
      </w:pPr>
      <w:r>
        <w:rPr>
          <w:rFonts w:ascii="Arial" w:cs="Arial" w:eastAsia="Arial" w:hAnsi="Arial"/>
          <w:b/>
          <w:bCs/>
          <w:sz w:val="24"/>
          <w:szCs w:val="24"/>
        </w:rPr>
        <w:t xml:space="preserve">9.3 Ambiente Computacional</w:t>
      </w:r>
    </w:p>
    <w:p>
      <w:pPr>
        <w:spacing w:after="200"/>
        <w:jc w:val="both"/>
      </w:pPr>
      <w:r>
        <w:rPr>
          <w:rFonts w:ascii="Arial" w:cs="Arial" w:eastAsia="Arial" w:hAnsi="Arial"/>
          <w:sz w:val="24"/>
          <w:szCs w:val="24"/>
        </w:rPr>
        <w:t xml:space="preserve">O ambiente computacional utilizado foi Ubuntu 26.04, Python 3.11, PyTorch 2.11 com suporte CUDA 12.8 e GPU NVIDIA RTX 5060 Ti (16 GB VRAM). O versionamento do código foi realizado com Git, com repositório privado hospedado no GitHub.</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2026-05-04T05:01:27.256Z</dcterms:created>
  <dcterms:modified xsi:type="dcterms:W3CDTF">2026-05-04T05:01:27.258Z</dcterms:modified>
</cp:coreProperties>
</file>

<file path=docProps/custom.xml><?xml version="1.0" encoding="utf-8"?>
<Properties xmlns="http://schemas.openxmlformats.org/officeDocument/2006/custom-properties" xmlns:vt="http://schemas.openxmlformats.org/officeDocument/2006/docPropsVTypes"/>
</file>