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5496"/>
          <w:sz w:val="40"/>
          <w:szCs w:val="40"/>
        </w:rPr>
        <w:t xml:space="preserve">METODOLOGIA</w:t>
      </w:r>
    </w:p>
    <w:p>
      <w:pPr>
        <w:spacing w:after="120"/>
        <w:jc w:val="center"/>
      </w:pPr>
      <w:r>
        <w:rPr>
          <w:rFonts w:ascii="Arial" w:cs="Arial" w:eastAsia="Arial" w:hAnsi="Arial"/>
          <w:b/>
          <w:bCs/>
          <w:sz w:val="28"/>
          <w:szCs w:val="28"/>
        </w:rPr>
        <w:t xml:space="preserve">Dashboard Interativo de Vigilancia Epidemiologica Aumentada</w:t>
      </w:r>
    </w:p>
    <w:p>
      <w:pPr>
        <w:spacing w:after="80"/>
        <w:jc w:val="center"/>
      </w:pPr>
      <w:r>
        <w:rPr>
          <w:rFonts w:ascii="Arial" w:cs="Arial" w:eastAsia="Arial" w:hAnsi="Arial"/>
          <w:i/>
          <w:iCs/>
          <w:color w:val="595959"/>
          <w:sz w:val="24"/>
          <w:szCs w:val="24"/>
        </w:rPr>
        <w:t xml:space="preserve">DIVEA — Versao 3</w:t>
      </w:r>
    </w:p>
    <w:p>
      <w:pPr>
        <w:spacing w:after="600"/>
        <w:jc w:val="center"/>
      </w:pPr>
      <w:r>
        <w:rPr>
          <w:rFonts w:ascii="Arial" w:cs="Arial" w:eastAsia="Arial" w:hAnsi="Arial"/>
          <w:i/>
          <w:iCs/>
          <w:color w:val="595959"/>
          <w:sz w:val="22"/>
          <w:szCs w:val="22"/>
        </w:rPr>
        <w:t xml:space="preserve">Atualizada com Temporal Fusion Transformer (TFT) e comparativo completo de modelos</w:t>
      </w:r>
    </w:p>
    <w:p>
      <w:pPr>
        <w:pStyle w:val="Heading1"/>
        <w:spacing w:after="160" w:before="360"/>
      </w:pPr>
      <w:r>
        <w:rPr>
          <w:rFonts w:ascii="Arial" w:cs="Arial" w:eastAsia="Arial" w:hAnsi="Arial"/>
          <w:b/>
          <w:bCs/>
          <w:color w:val="1F5496"/>
          <w:sz w:val="28"/>
          <w:szCs w:val="28"/>
        </w:rPr>
        <w:t xml:space="preserve">1. Aquisicao e Integracao dos Dados</w:t>
      </w:r>
    </w:p>
    <w:p>
      <w:pPr>
        <w:spacing w:after="200"/>
        <w:jc w:val="both"/>
      </w:pPr>
      <w:r>
        <w:rPr>
          <w:rFonts w:ascii="Arial" w:cs="Arial" w:eastAsia="Arial" w:hAnsi="Arial"/>
          <w:sz w:val="24"/>
          <w:szCs w:val="24"/>
        </w:rPr>
        <w:t xml:space="preserve">Os dados utilizados foram obtidos do Sistema de Informacao de Vigilancia Epidemiologica da Gripe (SIVEP-Gripe), disponibilizados pelo Ministerio da Saude na forma de arquivos no formato DBF (dBase File), compreendendo o periodo de 2019 a 2026. Os arquivos foram lidos em ambiente Python utilizando a biblioteca simpledbf, com codificacao latin-1, e integrados em um unico dataframe por concatenacao vertical, totalizando 373.011 registros e 222 variaveis. Todo o processamento foi realizado localmente, sem transmissao de dados para servicos externos, em conformidade com as restricoes de sigilo aplicaveis aos dados do SIVEP-Gripe.</w:t>
      </w:r>
    </w:p>
    <w:p>
      <w:pPr>
        <w:pStyle w:val="Heading1"/>
        <w:spacing w:after="160" w:before="360"/>
      </w:pPr>
      <w:r>
        <w:rPr>
          <w:rFonts w:ascii="Arial" w:cs="Arial" w:eastAsia="Arial" w:hAnsi="Arial"/>
          <w:b/>
          <w:bCs/>
          <w:color w:val="1F5496"/>
          <w:sz w:val="28"/>
          <w:szCs w:val="28"/>
        </w:rPr>
        <w:t xml:space="preserve">2. Selecao de Variaveis</w:t>
      </w:r>
    </w:p>
    <w:p>
      <w:pPr>
        <w:spacing w:after="200"/>
        <w:jc w:val="both"/>
      </w:pPr>
      <w:r>
        <w:rPr>
          <w:rFonts w:ascii="Arial" w:cs="Arial" w:eastAsia="Arial" w:hAnsi="Arial"/>
          <w:sz w:val="24"/>
          <w:szCs w:val="24"/>
        </w:rPr>
        <w:t xml:space="preserve">Das 222 variaveis disponiveis, foram selecionadas 32 com relevancia direta para os objetivos do projeto, abrangendo quatro dominios: variaveis temporais (data de notificacao, semana epidemiologica, data de inicio dos sintomas); variaveis geograficas (codigo do municipio de notificacao e de residencia); variaveis demograficas e clinicas (sexo, idade, gestacao, evolucao, internacao em UTI, uso de ventilacao mecanica, classificacao final); e variaveis virologicas (resultado de PCR para Influenza, SARS-CoV-2, VSR, Parainfluenza, Adenovirus, Metapneumovirus, Bocavirus e Rinovirus). Essa reducao diminuiu o consumo de memoria de 3,5 GB para 549 MB, viabilizando o processamento em ambiente local sem necessidade de infraestrutura de nuvem.</w:t>
      </w:r>
    </w:p>
    <w:p>
      <w:pPr>
        <w:pStyle w:val="Heading1"/>
        <w:spacing w:after="160" w:before="360"/>
      </w:pPr>
      <w:r>
        <w:rPr>
          <w:rFonts w:ascii="Arial" w:cs="Arial" w:eastAsia="Arial" w:hAnsi="Arial"/>
          <w:b/>
          <w:bCs/>
          <w:color w:val="1F5496"/>
          <w:sz w:val="28"/>
          <w:szCs w:val="28"/>
        </w:rPr>
        <w:t xml:space="preserve">3. Recorte Geografico</w:t>
      </w:r>
    </w:p>
    <w:p>
      <w:pPr>
        <w:spacing w:after="200"/>
        <w:jc w:val="both"/>
      </w:pPr>
      <w:r>
        <w:rPr>
          <w:rFonts w:ascii="Arial" w:cs="Arial" w:eastAsia="Arial" w:hAnsi="Arial"/>
          <w:sz w:val="24"/>
          <w:szCs w:val="24"/>
        </w:rPr>
        <w:t xml:space="preserve">O dataset foi filtrado para o estado do Parana utilizando o codigo IBGE de municipio de residencia (prefixo 41), resultando em 369.588 registros distribuidos em 399 municipios. Um segundo recorte foi aplicado para os 30 municipios da 15a Regional de Saude de Maringa, resultando em 34.006 registros para as analises regionais especificas. A escolha do municipio de residencia como criterio de filtragem, em detrimento do municipio de notificacao, fundamenta-se na maior adequacao epidemiologica para identificacao de focos de transmissao: o municipio de notificacao introduz vies geografico em regioes com hospitais de referencia que concentram casos provenientes de municipios vizinhos.</w:t>
      </w:r>
    </w:p>
    <w:p>
      <w:pPr>
        <w:pStyle w:val="Heading1"/>
        <w:spacing w:after="160" w:before="360"/>
      </w:pPr>
      <w:r>
        <w:rPr>
          <w:rFonts w:ascii="Arial" w:cs="Arial" w:eastAsia="Arial" w:hAnsi="Arial"/>
          <w:b/>
          <w:bCs/>
          <w:color w:val="1F5496"/>
          <w:sz w:val="28"/>
          <w:szCs w:val="28"/>
        </w:rPr>
        <w:t xml:space="preserve">4. Construcao das Series Temporais</w:t>
      </w:r>
    </w:p>
    <w:p>
      <w:pPr>
        <w:spacing w:after="200"/>
        <w:jc w:val="both"/>
      </w:pPr>
      <w:r>
        <w:rPr>
          <w:rFonts w:ascii="Arial" w:cs="Arial" w:eastAsia="Arial" w:hAnsi="Arial"/>
          <w:sz w:val="24"/>
          <w:szCs w:val="24"/>
        </w:rPr>
        <w:t xml:space="preserve">Os registros foram agregados por semana epidemiologica a partir da data de notificacao, gerando series temporais com 382 semanas (2018-2026) para o Parana e 379 semanas para a 15a RS. Alem da serie geral de casos de SRAG, foram construidas series especificas por agente etiologico confirmado laboratorialmente: Influenza (n=9.835 positivos no Parana), SARS-CoV-2 (n=127.165 detectados) e VSR (n=15.220 detectados). As series foram armazenadas no formato Parquet para uso nas etapas subsequentes.</w:t>
      </w:r>
    </w:p>
    <w:p>
      <w:pPr>
        <w:pStyle w:val="Heading1"/>
        <w:spacing w:after="160" w:before="360"/>
      </w:pPr>
      <w:r>
        <w:rPr>
          <w:rFonts w:ascii="Arial" w:cs="Arial" w:eastAsia="Arial" w:hAnsi="Arial"/>
          <w:b/>
          <w:bCs/>
          <w:color w:val="1F5496"/>
          <w:sz w:val="28"/>
          <w:szCs w:val="28"/>
        </w:rPr>
        <w:t xml:space="preserve">5. Desenvolvimento e Avaliacao dos Modelos Preditivos</w:t>
      </w:r>
    </w:p>
    <w:p>
      <w:pPr>
        <w:spacing w:after="200"/>
        <w:jc w:val="both"/>
      </w:pPr>
      <w:r>
        <w:rPr>
          <w:rFonts w:ascii="Arial" w:cs="Arial" w:eastAsia="Arial" w:hAnsi="Arial"/>
          <w:sz w:val="24"/>
          <w:szCs w:val="24"/>
        </w:rPr>
        <w:t xml:space="preserve">Foram desenvolvidos e comparados dois tipos de modelos preditivos para previsao de curto prazo da incidencia semanal de SRAG com horizonte de quatro semanas: modelos de Long Short-Term Memory (LSTM) e o Temporal Fusion Transformer (TFT). A comparacao sistematica entre as arquiteturas constitui contribuicao metodologica original do projeto, produzindo evidencias empiricas sobre a adequacao de cada abordagem para series temporais epidemiologicas brasileiras.</w:t>
      </w:r>
    </w:p>
    <w:p>
      <w:pPr>
        <w:pStyle w:val="Heading2"/>
        <w:spacing w:after="120" w:before="280"/>
      </w:pPr>
      <w:r>
        <w:rPr>
          <w:rFonts w:ascii="Arial" w:cs="Arial" w:eastAsia="Arial" w:hAnsi="Arial"/>
          <w:b/>
          <w:bCs/>
          <w:color w:val="2E75B6"/>
          <w:sz w:val="24"/>
          <w:szCs w:val="24"/>
        </w:rPr>
        <w:t xml:space="preserve">5.1 Modelos LSTM</w:t>
      </w:r>
    </w:p>
    <w:p>
      <w:pPr>
        <w:pStyle w:val="Heading3"/>
        <w:spacing w:after="100" w:before="200"/>
      </w:pPr>
      <w:r>
        <w:rPr>
          <w:rFonts w:ascii="Arial" w:cs="Arial" w:eastAsia="Arial" w:hAnsi="Arial"/>
          <w:b/>
          <w:bCs/>
          <w:color w:val="2E75B6"/>
          <w:sz w:val="22"/>
          <w:szCs w:val="22"/>
        </w:rPr>
        <w:t xml:space="preserve">5.1.1 Arquitetura e treinamento</w:t>
      </w:r>
    </w:p>
    <w:p>
      <w:pPr>
        <w:spacing w:after="200"/>
        <w:jc w:val="both"/>
      </w:pPr>
      <w:r>
        <w:rPr>
          <w:rFonts w:ascii="Arial" w:cs="Arial" w:eastAsia="Arial" w:hAnsi="Arial"/>
          <w:sz w:val="24"/>
          <w:szCs w:val="24"/>
        </w:rPr>
        <w:t xml:space="preserve">Foram desenvolvidos tres modelos LSTM: um para SRAG total, um para Influenza e um para VSR. A arquitetura base consiste em camadas LSTM com unidades ocultas, dropout entre camadas e uma camada densa de saida com quatro neuronios correspondentes as quatro semanas de previsao. Os dados foram normalizados pelo metodo Min-Max antes do treinamento. As janelas temporais foram construidas com N semanas de entrada para prever as 4 semanas seguintes. O conjunto foi dividido em 80% para treinamento e 20% para teste, respeitando a ordem cronologica para evitar vazamento de dados (data leakage). Para o modelo de Influenza, o periodo pandemico de 2020-2021 foi excluido da serie de treinamento devido a supressao artificial da circulacao viral nesse periodo, resultando em 278 semanas efetivas. Para o VSR, a serie completa foi mantida, pois a supressao pandemica foi parcial e faz parte do padrao historico real. Todos os modelos foram treinados por 200-300 epocas com otimizador Adam (taxa de aprendizado 0,001) e funcao de perda MSE (Mean Squared Error), utilizando GPU (NVIDIA RTX 5060 Ti, 16 GB VRAM, CUDA 12.8).</w:t>
      </w:r>
    </w:p>
    <w:p>
      <w:pPr>
        <w:pStyle w:val="Heading3"/>
        <w:spacing w:after="100" w:before="200"/>
      </w:pPr>
      <w:r>
        <w:rPr>
          <w:rFonts w:ascii="Arial" w:cs="Arial" w:eastAsia="Arial" w:hAnsi="Arial"/>
          <w:b/>
          <w:bCs/>
          <w:color w:val="2E75B6"/>
          <w:sz w:val="22"/>
          <w:szCs w:val="22"/>
        </w:rPr>
        <w:t xml:space="preserve">5.1.2 Otimizacao de hiperparametros</w:t>
      </w:r>
    </w:p>
    <w:p>
      <w:pPr>
        <w:spacing w:after="200"/>
        <w:jc w:val="both"/>
      </w:pPr>
      <w:r>
        <w:rPr>
          <w:rFonts w:ascii="Arial" w:cs="Arial" w:eastAsia="Arial" w:hAnsi="Arial"/>
          <w:sz w:val="24"/>
          <w:szCs w:val="24"/>
        </w:rPr>
        <w:t xml:space="preserve">A otimizacao de hiperparametros foi conduzida por meio de busca em grade (grid search) sobre quatro dimensoes: janela temporal (8, 12, 16 e 24 semanas), numero de unidades ocultas (32, 64 e 128), numero de camadas LSTM (1 e 2) e taxa de dropout (0,1 e 0,2), totalizando 48 combinacoes por modelo. Para cada combinacao, o modelo foi treinado e avaliado pelas metricas MAE na semana +1 e MAE na semana +4. A combinacao final foi selecionada com base na menor soma das duas metricas (MAE total).</w:t>
      </w:r>
    </w:p>
    <w:p>
      <w:pPr>
        <w:spacing w:after="200"/>
        <w:jc w:val="both"/>
      </w:pPr>
      <w:r>
        <w:rPr>
          <w:rFonts w:ascii="Arial" w:cs="Arial" w:eastAsia="Arial" w:hAnsi="Arial"/>
          <w:sz w:val="24"/>
          <w:szCs w:val="24"/>
        </w:rPr>
        <w:t xml:space="preserve">Um resultado relevante do processo de otimizacao foi a divergencia na janela temporal otima entre os modelos: enquanto o SRAG total beneficiou-se de uma janela mais longa (16 semanas), Influenza e VSR apresentaram melhor desempenho com janelas curtas (8 semanas). Esse padrao e epidemiologicamente coerente: a sazonalidade da Influenza e do VSR e mais aguda e de curta duracao, enquanto a serie geral de SRAG incorpora tendencias de longo prazo associadas principalmente ao SARS-CoV-2.</w:t>
      </w:r>
    </w:p>
    <w:p>
      <w:pPr>
        <w:spacing w:after="200" w:before="80"/>
        <w:jc w:val="center"/>
      </w:pPr>
      <w:r>
        <w:rPr>
          <w:rFonts w:ascii="Arial" w:cs="Arial" w:eastAsia="Arial" w:hAnsi="Arial"/>
          <w:i/>
          <w:iCs/>
          <w:color w:val="595959"/>
          <w:sz w:val="20"/>
          <w:szCs w:val="20"/>
        </w:rPr>
        <w:t xml:space="preserve">Tabela 1. Configuracoes otimizadas dos modelos LSTM apos grid search (48 combinacoes por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3"/>
        <w:gridCol w:w="1693"/>
        <w:gridCol w:w="1692"/>
        <w:gridCol w:w="1692"/>
      </w:tblGrid>
      <w:tr>
        <w:tc>
          <w:tcPr>
            <w:tcW w:type="dxa" w:w="1806"/>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Modelo</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Janela (sem.)</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Hidden</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Camadas</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Dropout</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SRAG Total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r>
      <w:tr>
        <w:tc>
          <w:tcPr>
            <w:tcW w:type="dxa" w:w="1806"/>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Influenza</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0,2</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VSR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r>
    </w:tbl>
    <w:p>
      <w:pPr>
        <w:spacing w:after="160"/>
      </w:pPr>
    </w:p>
    <w:p>
      <w:pPr>
        <w:pStyle w:val="Heading2"/>
        <w:spacing w:after="120" w:before="280"/>
      </w:pPr>
      <w:r>
        <w:rPr>
          <w:rFonts w:ascii="Arial" w:cs="Arial" w:eastAsia="Arial" w:hAnsi="Arial"/>
          <w:b/>
          <w:bCs/>
          <w:color w:val="2E75B6"/>
          <w:sz w:val="24"/>
          <w:szCs w:val="24"/>
        </w:rPr>
        <w:t xml:space="preserve">5.2 Temporal Fusion Transformer (TFT)</w:t>
      </w:r>
    </w:p>
    <w:p>
      <w:pPr>
        <w:pStyle w:val="Heading3"/>
        <w:spacing w:after="100" w:before="200"/>
      </w:pPr>
      <w:r>
        <w:rPr>
          <w:rFonts w:ascii="Arial" w:cs="Arial" w:eastAsia="Arial" w:hAnsi="Arial"/>
          <w:b/>
          <w:bCs/>
          <w:color w:val="2E75B6"/>
          <w:sz w:val="22"/>
          <w:szCs w:val="22"/>
        </w:rPr>
        <w:t xml:space="preserve">5.2.1 Fundamentacao e diferenciais arquiteturais</w:t>
      </w:r>
    </w:p>
    <w:p>
      <w:pPr>
        <w:spacing w:after="200"/>
        <w:jc w:val="both"/>
      </w:pPr>
      <w:r>
        <w:rPr>
          <w:rFonts w:ascii="Arial" w:cs="Arial" w:eastAsia="Arial" w:hAnsi="Arial"/>
          <w:sz w:val="24"/>
          <w:szCs w:val="24"/>
        </w:rPr>
        <w:t xml:space="preserve">O Temporal Fusion Transformer (TFT), proposto por Lim et al. (2021), e uma arquitetura de aprendizado profundo especificamente projetada para previsao de series temporais multivariadas interpretaveis. Em relacao ao LSTM convencional, o TFT introduz tres capacidades fundamentais que o tornam especialmente adequado para vigilancia epidemiologica:</w:t>
      </w:r>
    </w:p>
    <w:p>
      <w:pPr>
        <w:spacing w:after="200"/>
        <w:jc w:val="both"/>
      </w:pPr>
      <w:r>
        <w:rPr>
          <w:rFonts w:ascii="Arial" w:cs="Arial" w:eastAsia="Arial" w:hAnsi="Arial"/>
          <w:sz w:val="24"/>
          <w:szCs w:val="24"/>
        </w:rPr>
        <w:t xml:space="preserve">(1) Atencao temporal interpretavel: o mecanismo de atencao multi-cabecas interpreta identifica, para cada previsao, quais semanas historicas exercem maior influencia. Isso permite ao epidemiologista compreender se o modelo esta dando mais peso a eventos recentes, ao mesmo periodo do ano anterior, ou a picos epidemicos passados.</w:t>
      </w:r>
    </w:p>
    <w:p>
      <w:pPr>
        <w:spacing w:after="200"/>
        <w:jc w:val="both"/>
      </w:pPr>
      <w:r>
        <w:rPr>
          <w:rFonts w:ascii="Arial" w:cs="Arial" w:eastAsia="Arial" w:hAnsi="Arial"/>
          <w:sz w:val="24"/>
          <w:szCs w:val="24"/>
        </w:rPr>
        <w:t xml:space="preserve">(2) Selecao de variaveis covariadas: o TFT integra nativamente variaveis exogenas conhecidas (como semana epidemiologica e mes do ano) por meio de redes de selecao de variaveis (Variable Selection Networks), ponderando automaticamente a contribuicao de cada variavel ao longo do horizonte de previsao.</w:t>
      </w:r>
    </w:p>
    <w:p>
      <w:pPr>
        <w:spacing w:after="200"/>
        <w:jc w:val="both"/>
      </w:pPr>
      <w:r>
        <w:rPr>
          <w:rFonts w:ascii="Arial" w:cs="Arial" w:eastAsia="Arial" w:hAnsi="Arial"/>
          <w:sz w:val="24"/>
          <w:szCs w:val="24"/>
        </w:rPr>
        <w:t xml:space="preserve">(3) Previsao probabilistica por quantis: ao contrario do LSTM que produz uma unica estimativa pontual, o TFT gera distribuicoes de probabilidade representadas por multiplos quantis (P10, P25, P50, P75, P90). Para vigilancia epidemiologica, isso e operacionalmente relevante: o gestor de saude pode avaliar nao apenas o numero esperado de casos, mas tambem o intervalo de incerteza e a probabilidade de cenarios de alta.</w:t>
      </w:r>
    </w:p>
    <w:p>
      <w:pPr>
        <w:pStyle w:val="Heading3"/>
        <w:spacing w:after="100" w:before="200"/>
      </w:pPr>
      <w:r>
        <w:rPr>
          <w:rFonts w:ascii="Arial" w:cs="Arial" w:eastAsia="Arial" w:hAnsi="Arial"/>
          <w:b/>
          <w:bCs/>
          <w:color w:val="2E75B6"/>
          <w:sz w:val="22"/>
          <w:szCs w:val="22"/>
        </w:rPr>
        <w:t xml:space="preserve">5.2.2 Arquitetura implementada</w:t>
      </w:r>
    </w:p>
    <w:p>
      <w:pPr>
        <w:spacing w:after="200"/>
        <w:jc w:val="both"/>
      </w:pPr>
      <w:r>
        <w:rPr>
          <w:rFonts w:ascii="Arial" w:cs="Arial" w:eastAsia="Arial" w:hAnsi="Arial"/>
          <w:sz w:val="24"/>
          <w:szCs w:val="24"/>
        </w:rPr>
        <w:t xml:space="preserve">O modelo TFT foi implementado utilizando a biblioteca pytorch-forecasting (versao 1.1.1) sobre PyTorch 2.11 com suporte CUDA 12.8. A arquitetura consiste nos seguintes componentes principais: codificadores de variaveis categoricas conhecidas (semana epidemiologica e mes) por meio de embeddings aprendidos; prescalers para normalizacao das variaveis continuas; redes de selecao de variaveis estaticas, de codificador e de decodificador; encoder e decoder LSTM com 64 unidades ocultas; mecanismo de atencao multi-cabecas interpretavel com 2 cabecas de atencao; conexoes residuais com porta e normalizacao (GateAddNorm) em cada bloco; e camada de saida linear produzindo 7 quantis (P10, P25, P50, P75, P90, P05, P95), totalizando 66.600 parametros treinaveis.</w:t>
      </w:r>
    </w:p>
    <w:p>
      <w:pPr>
        <w:pStyle w:val="Heading3"/>
        <w:spacing w:after="100" w:before="200"/>
      </w:pPr>
      <w:r>
        <w:rPr>
          <w:rFonts w:ascii="Arial" w:cs="Arial" w:eastAsia="Arial" w:hAnsi="Arial"/>
          <w:b/>
          <w:bCs/>
          <w:color w:val="2E75B6"/>
          <w:sz w:val="22"/>
          <w:szCs w:val="22"/>
        </w:rPr>
        <w:t xml:space="preserve">5.2.3 Preparacao dos dados para o TFT</w:t>
      </w:r>
    </w:p>
    <w:p>
      <w:pPr>
        <w:spacing w:after="200"/>
        <w:jc w:val="both"/>
      </w:pPr>
      <w:r>
        <w:rPr>
          <w:rFonts w:ascii="Arial" w:cs="Arial" w:eastAsia="Arial" w:hAnsi="Arial"/>
          <w:sz w:val="24"/>
          <w:szCs w:val="24"/>
        </w:rPr>
        <w:t xml:space="preserve">O TFT requer estrutura de dados especifica, diferente do LSTM. Os dados foram reorganizados em formato de dataframe com indice temporal inteiro sequencial, identificador de grupo (estado do Parana), variavel alvo (casos semanais de SRAG) e variaveis covariadas categoricas conhecidas (semana epidemiologica e mes). A normalizacao foi realizada por meio do GroupNormalizer com transformacao softplus, que lida adequadamente com series nao negativas e com grande amplitude de variacao, como as series epidemiologicas com picos pandemicos.</w:t>
      </w:r>
    </w:p>
    <w:p>
      <w:pPr>
        <w:spacing w:after="200"/>
        <w:jc w:val="both"/>
      </w:pPr>
      <w:r>
        <w:rPr>
          <w:rFonts w:ascii="Arial" w:cs="Arial" w:eastAsia="Arial" w:hAnsi="Arial"/>
          <w:sz w:val="24"/>
          <w:szCs w:val="24"/>
        </w:rPr>
        <w:t xml:space="preserve">O conjunto foi dividido em 70% para treinamento e 30% para validacao (split temporal), gerando 7 batches de treinamento e 12 de validacao. A janela de contexto foi definida em 16 semanas, coerente com a configuracao otima identificada para o LSTM de SRAG total.</w:t>
      </w:r>
    </w:p>
    <w:p>
      <w:pPr>
        <w:pStyle w:val="Heading3"/>
        <w:spacing w:after="100" w:before="200"/>
      </w:pPr>
      <w:r>
        <w:rPr>
          <w:rFonts w:ascii="Arial" w:cs="Arial" w:eastAsia="Arial" w:hAnsi="Arial"/>
          <w:b/>
          <w:bCs/>
          <w:color w:val="2E75B6"/>
          <w:sz w:val="22"/>
          <w:szCs w:val="22"/>
        </w:rPr>
        <w:t xml:space="preserve">5.2.4 Treinamento</w:t>
      </w:r>
    </w:p>
    <w:p>
      <w:pPr>
        <w:spacing w:after="200"/>
        <w:jc w:val="both"/>
      </w:pPr>
      <w:r>
        <w:rPr>
          <w:rFonts w:ascii="Arial" w:cs="Arial" w:eastAsia="Arial" w:hAnsi="Arial"/>
          <w:sz w:val="24"/>
          <w:szCs w:val="24"/>
        </w:rPr>
        <w:t xml:space="preserve">O modelo foi treinado por 80 epocas com funcao de perda QuantileLoss, que otimiza simultaneamente todos os quantis de saida. O otimizador Adam com taxa de aprendizado 0,03 foi utilizado com callback de early stopping monitorando a val_loss com paciencia de 10 epocas. O treinamento foi encerrado apos 80 epocas com val_loss final de 46,3, representando reducao de 88% em relacao ao valor inicial (579). O treinamento completo foi executado em GPU em aproximadamente 2 minutos.</w:t>
      </w:r>
    </w:p>
    <w:p>
      <w:pPr>
        <w:pStyle w:val="Heading1"/>
        <w:spacing w:after="160" w:before="360"/>
      </w:pPr>
      <w:r>
        <w:rPr>
          <w:rFonts w:ascii="Arial" w:cs="Arial" w:eastAsia="Arial" w:hAnsi="Arial"/>
          <w:b/>
          <w:bCs/>
          <w:color w:val="1F5496"/>
          <w:sz w:val="28"/>
          <w:szCs w:val="28"/>
        </w:rPr>
        <w:t xml:space="preserve">6. Avaliacao Comparativa dos Modelos Preditivos</w:t>
      </w:r>
    </w:p>
    <w:p>
      <w:pPr>
        <w:spacing w:after="200"/>
        <w:jc w:val="both"/>
      </w:pPr>
      <w:r>
        <w:rPr>
          <w:rFonts w:ascii="Arial" w:cs="Arial" w:eastAsia="Arial" w:hAnsi="Arial"/>
          <w:sz w:val="24"/>
          <w:szCs w:val="24"/>
        </w:rPr>
        <w:t xml:space="preserve">O desempenho foi avaliado no conjunto de teste pelas metricas MAE (Mean Absolute Error) e RMSE (Root Mean Squared Error) para cada semana do horizonte de previsao. A Tabela 2 apresenta o comparativo completo entre as tres versoes de modelos desenvolvidas no projeto.</w:t>
      </w:r>
    </w:p>
    <w:p>
      <w:pPr>
        <w:spacing w:after="200" w:before="80"/>
        <w:jc w:val="center"/>
      </w:pPr>
      <w:r>
        <w:rPr>
          <w:rFonts w:ascii="Arial" w:cs="Arial" w:eastAsia="Arial" w:hAnsi="Arial"/>
          <w:i/>
          <w:iCs/>
          <w:color w:val="595959"/>
          <w:sz w:val="20"/>
          <w:szCs w:val="20"/>
        </w:rPr>
        <w:t xml:space="preserve">Tabela 2. Comparativo de desempenho entre modelos LSTM baseline, LSTM otimizado e TFT para previsao de SRAG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3"/>
        <w:gridCol w:w="1693"/>
        <w:gridCol w:w="1692"/>
        <w:gridCol w:w="1692"/>
      </w:tblGrid>
      <w:tr>
        <w:tc>
          <w:tcPr>
            <w:tcW w:type="dxa" w:w="1806"/>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Modelo</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+1 (casos)</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+4 (casos)</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Reducao MAE +1</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Reducao MAE +4</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LSTM baseline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106,7</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206,2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c>
          <w:tcPr>
            <w:tcW w:type="dxa" w:w="1806"/>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LSTM otimizado</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89,9</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175,8</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TFT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50,6</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80,9</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-61%</w:t>
            </w:r>
          </w:p>
        </w:tc>
      </w:tr>
    </w:tbl>
    <w:p>
      <w:pPr>
        <w:spacing w:after="160"/>
      </w:pPr>
    </w:p>
    <w:p>
      <w:pPr>
        <w:spacing w:after="200" w:before="80"/>
        <w:jc w:val="center"/>
      </w:pPr>
      <w:r>
        <w:rPr>
          <w:rFonts w:ascii="Arial" w:cs="Arial" w:eastAsia="Arial" w:hAnsi="Arial"/>
          <w:i/>
          <w:iCs/>
          <w:color w:val="595959"/>
          <w:sz w:val="20"/>
          <w:szCs w:val="20"/>
        </w:rPr>
        <w:t xml:space="preserve">Tabela 3. Desempenho dos modelos LSTM otimizados por tipo de virus e horizonte de previsao.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3"/>
        <w:gridCol w:w="1693"/>
        <w:gridCol w:w="1692"/>
        <w:gridCol w:w="1692"/>
      </w:tblGrid>
      <w:tr>
        <w:tc>
          <w:tcPr>
            <w:tcW w:type="dxa" w:w="1806"/>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Modelo</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Versao</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Media teste</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+1 (erro %)</w:t>
            </w:r>
          </w:p>
        </w:tc>
        <w:tc>
          <w:tcPr>
            <w:tcW w:type="dxa" w:w="1805"/>
            <w:tcBorders>
              <w:top w:val="single" w:color="1F5496" w:sz="1"/>
              <w:left w:val="single" w:color="1F5496" w:sz="1"/>
              <w:bottom w:val="single" w:color="1F5496" w:sz="1"/>
              <w:right w:val="single" w:color="1F5496" w:sz="1"/>
            </w:tcBorders>
            <w:shd w:fill="1F54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+4 (erro %)</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SRAG Total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Baseline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530 casos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106,7 (20%)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206,2 (39%)</w:t>
            </w:r>
          </w:p>
        </w:tc>
      </w:tr>
      <w:tr>
        <w:tc>
          <w:tcPr>
            <w:tcW w:type="dxa" w:w="1806"/>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SRAG Total</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Otimizado</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530 casos</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89,9 (17%)</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175,8 (33%)</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Influenza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Baseline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51 casos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22,0 (43%)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34,5 (68%)</w:t>
            </w:r>
          </w:p>
        </w:tc>
      </w:tr>
      <w:tr>
        <w:tc>
          <w:tcPr>
            <w:tcW w:type="dxa" w:w="1806"/>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Influenza</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Otimizado</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51 casos</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21,7 (42%)</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44,9 (88%)</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VSR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Baseline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60 casos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17,9 (30%)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32,8 (55%)</w:t>
            </w:r>
          </w:p>
        </w:tc>
      </w:tr>
      <w:tr>
        <w:tc>
          <w:tcPr>
            <w:tcW w:type="dxa" w:w="1806"/>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VSR</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Otimizado</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60 casos</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19,2 (32%)</w:t>
            </w:r>
          </w:p>
        </w:tc>
        <w:tc>
          <w:tcPr>
            <w:tcW w:type="dxa" w:w="1805"/>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31,2 (52%)</w:t>
            </w:r>
          </w:p>
        </w:tc>
      </w:tr>
    </w:tbl>
    <w:p>
      <w:pPr>
        <w:spacing w:after="160"/>
      </w:pPr>
    </w:p>
    <w:p>
      <w:pPr>
        <w:spacing w:after="200"/>
        <w:jc w:val="both"/>
      </w:pPr>
      <w:r>
        <w:rPr>
          <w:rFonts w:ascii="Arial" w:cs="Arial" w:eastAsia="Arial" w:hAnsi="Arial"/>
          <w:sz w:val="24"/>
          <w:szCs w:val="24"/>
        </w:rPr>
        <w:t xml:space="preserve">O TFT demonstrou desempenho superior ao LSTM em todas as metricas para SRAG total, com reducao de 53% no MAE da semana +1 (de 106,7 para 50,6 casos) e de 61% no MAE da semana +4 (de 206,2 para 80,9 casos). Visualmente, o TFT captura com maior fidelidade a dinamica da serie, incluindo os picos pandemicos de 2020-2021 e os picos sazonais pos-pandemicos, enquanto o LSTM tende a suavizar eventos extremos.</w:t>
      </w:r>
    </w:p>
    <w:p>
      <w:pPr>
        <w:spacing w:after="200"/>
        <w:jc w:val="both"/>
      </w:pPr>
      <w:r>
        <w:rPr>
          <w:rFonts w:ascii="Arial" w:cs="Arial" w:eastAsia="Arial" w:hAnsi="Arial"/>
          <w:sz w:val="24"/>
          <w:szCs w:val="24"/>
        </w:rPr>
        <w:t xml:space="preserve">Para os modelos especificos de Influenza e VSR, a otimizacao por grid search produziu resultados mistos: a configuracao de janela curta (8 semanas) melhora a deteccao precoce (semana +1) mas compromete parcialmente o horizonte mais longo (semana +4) para a Influenza. Esse comportamento reflete uma limitacao estrutural das series sazonais com picos agudos, para as quais janelas adaptativas ou arquiteturas com atencao tendem a ser mais adequadas. A aplicacao do TFT para Influenza e VSR constitui etapa prevista para desenvolvimento futuro.</w:t>
      </w:r>
    </w:p>
    <w:p>
      <w:pPr>
        <w:pStyle w:val="Heading2"/>
        <w:spacing w:after="120" w:before="280"/>
      </w:pPr>
      <w:r>
        <w:rPr>
          <w:rFonts w:ascii="Arial" w:cs="Arial" w:eastAsia="Arial" w:hAnsi="Arial"/>
          <w:b/>
          <w:bCs/>
          <w:color w:val="2E75B6"/>
          <w:sz w:val="24"/>
          <w:szCs w:val="24"/>
        </w:rPr>
        <w:t xml:space="preserve">6.1 Analise dos resultados por modelo</w:t>
      </w:r>
    </w:p>
    <w:p>
      <w:pPr>
        <w:spacing w:after="200"/>
        <w:jc w:val="both"/>
      </w:pPr>
      <w:r>
        <w:rPr>
          <w:rFonts w:ascii="Arial" w:cs="Arial" w:eastAsia="Arial" w:hAnsi="Arial"/>
          <w:sz w:val="24"/>
          <w:szCs w:val="24"/>
        </w:rPr>
        <w:t xml:space="preserve">O padrao de subestimacao de picos observado nos modelos LSTM — tipico de redes recorrentes em series epidemiologicas — e atribuivel a dois fatores principais: (a) os picos maximos da serie, especialmente os de 2020-2021, nao estavam representados nas janelas de treinamento com intensidade suficiente para orientar o aprendizado; e (b) a funcao de perda MSE penaliza igualmente erros em todos os pontos da serie, sem dar peso adicional a eventos extremos epidemiologicamente relevantes. O TFT mitiga parcialmente o segundo fator por meio da QuantileLoss, que otimiza a distribuicao completa de probabilidade e nao apenas a media condicional. A incorporacao de dados historicos anteriores a 2019 e a inclusao de variaveis exogenas como dados climaticos e de mobilidade sao etapas previstas para refinamento dos modelos em fases posteriores do projeto.</w:t>
      </w:r>
    </w:p>
    <w:p>
      <w:pPr>
        <w:pStyle w:val="Heading1"/>
        <w:spacing w:after="160" w:before="360"/>
      </w:pPr>
      <w:r>
        <w:rPr>
          <w:rFonts w:ascii="Arial" w:cs="Arial" w:eastAsia="Arial" w:hAnsi="Arial"/>
          <w:b/>
          <w:bCs/>
          <w:color w:val="1F5496"/>
          <w:sz w:val="28"/>
          <w:szCs w:val="28"/>
        </w:rPr>
        <w:t xml:space="preserve">7. Analise de Clusterizacao Espaco-Temporal</w:t>
      </w:r>
    </w:p>
    <w:p>
      <w:pPr>
        <w:spacing w:after="200"/>
        <w:jc w:val="both"/>
      </w:pPr>
      <w:r>
        <w:rPr>
          <w:rFonts w:ascii="Arial" w:cs="Arial" w:eastAsia="Arial" w:hAnsi="Arial"/>
          <w:sz w:val="24"/>
          <w:szCs w:val="24"/>
        </w:rPr>
        <w:t xml:space="preserve">A distribuicao espacial dos casos de SRAG foi analisada por meio do indice de Moran global e do LISA (Local Indicators of Spatial Association), utilizando as bibliotecas libpysal e esda em Python. A matriz de pesos espaciais foi construida pelo criterio de contiguidade Queen — que define como vizinhos os municipios que compartilham fronteiras ou vertices — com padronizacao por linha para controle do efeito de escala. O shapefile dos municipios do Parana foi obtido do IBGE (edicao 2024, EPSG:4674) e integrado aos dados do SIVEP-Gripe pelo codigo de municipio de residencia de 6 digitos.</w:t>
      </w:r>
    </w:p>
    <w:p>
      <w:pPr>
        <w:spacing w:after="200"/>
        <w:jc w:val="both"/>
      </w:pPr>
      <w:r>
        <w:rPr>
          <w:rFonts w:ascii="Arial" w:cs="Arial" w:eastAsia="Arial" w:hAnsi="Arial"/>
          <w:sz w:val="24"/>
          <w:szCs w:val="24"/>
        </w:rPr>
        <w:t xml:space="preserve">Para o ano de 2025, o indice de Moran global foi de I=0,1165 (p=0,005, permutacoes=999), indicando autocorrelacao espacial positiva estatisticamente significativa: municipios com maior incidencia tendem a ser adjacentes a municipios com maior incidencia. Embora o valor do indice seja classificado como moderado, sua significancia estatistica confirma que a distribuicao espacial dos casos de SRAG no Parana nao e aleatoria e apresenta estrutura geografica relevante para a vigilancia epidemiologica.</w:t>
      </w:r>
    </w:p>
    <w:p>
      <w:pPr>
        <w:spacing w:after="200"/>
        <w:jc w:val="both"/>
      </w:pPr>
      <w:r>
        <w:rPr>
          <w:rFonts w:ascii="Arial" w:cs="Arial" w:eastAsia="Arial" w:hAnsi="Arial"/>
          <w:sz w:val="24"/>
          <w:szCs w:val="24"/>
        </w:rPr>
        <w:t xml:space="preserve">A analise LISA identificou 14 municipios em clusters HH (High-High, alto-alto) com p&lt;0,05, concentrados em tres regioes: regiao metropolitana de Curitiba (Curitiba, Sao Jose dos Pinhais, Colombo, Araucaria, Almirante Tamandare, Fazenda Rio Grande, Pinhais e Campo Largo), regiao norte do Parana (Cambe, Ibipora, Sarandi e Arapongas, na area de influencia de Londrina e Maringa) e regiao oeste (Toledo e Ouro Verde do Oeste). Esses clusters representam os focos de alerta prioritarios para o sistema de vigilancia ativa. A analise sera repetida para cada ano disponivel na serie historica na sequencia do projeto, permitindo identificar municipios persistentemente em estado de alerta (clusters HH recorrentes) e municipios emergentes.</w:t>
      </w:r>
    </w:p>
    <w:p>
      <w:pPr>
        <w:pStyle w:val="Heading1"/>
        <w:spacing w:after="160" w:before="360"/>
      </w:pPr>
      <w:r>
        <w:rPr>
          <w:rFonts w:ascii="Arial" w:cs="Arial" w:eastAsia="Arial" w:hAnsi="Arial"/>
          <w:b/>
          <w:bCs/>
          <w:color w:val="1F5496"/>
          <w:sz w:val="28"/>
          <w:szCs w:val="28"/>
        </w:rPr>
        <w:t xml:space="preserve">8. Canal Endemico da 15a Regional de Saude</w:t>
      </w:r>
    </w:p>
    <w:p>
      <w:pPr>
        <w:spacing w:after="200"/>
        <w:jc w:val="both"/>
      </w:pPr>
      <w:r>
        <w:rPr>
          <w:rFonts w:ascii="Arial" w:cs="Arial" w:eastAsia="Arial" w:hAnsi="Arial"/>
          <w:sz w:val="24"/>
          <w:szCs w:val="24"/>
        </w:rPr>
        <w:t xml:space="preserve">Para a 15a Regional de Saude de Maringa, foi construido um canal endemico semanal com base nos dados historicos de 2019 a 2026, excluindo os anos pandemicos de 2020 e 2021. A exclusao do periodo pandemico fundamenta-se na necessidade de preservar o padrao endemico pre-pandemico como referencia: a inclusao de 2020-2021 inflacionaria artificialmente os limites superiores do canal, reduzindo a sensibilidade do sistema de alerta.</w:t>
      </w:r>
    </w:p>
    <w:p>
      <w:pPr>
        <w:spacing w:after="200"/>
        <w:jc w:val="both"/>
      </w:pPr>
      <w:r>
        <w:rPr>
          <w:rFonts w:ascii="Arial" w:cs="Arial" w:eastAsia="Arial" w:hAnsi="Arial"/>
          <w:sz w:val="24"/>
          <w:szCs w:val="24"/>
        </w:rPr>
        <w:t xml:space="preserve">Para cada semana epidemiologica (1 a 52), foram calculados a media historica e o desvio padrao inter-anual, definindo quatro zonas de atividade: zona segura (abaixo de media + 1 DP); zona de alerta (entre media + 1 DP e media + 2 DP); zona de risco (entre media + 2 DP e media + 3 DP); e zona de epidemia (acima de media + 3 DP). Os limiares de alerta e epidemia correspondem, respectivamente, a probabilidade de excedencia de aproximadamente 16% e 0,3% sob distribuicao normal, alinhando-se com a metodologia classica de canal endemico adotada pela Organizacao Pan-Americana da Saude (OPAS).</w:t>
      </w:r>
    </w:p>
    <w:p>
      <w:pPr>
        <w:spacing w:after="200"/>
        <w:jc w:val="both"/>
      </w:pPr>
      <w:r>
        <w:rPr>
          <w:rFonts w:ascii="Arial" w:cs="Arial" w:eastAsia="Arial" w:hAnsi="Arial"/>
          <w:sz w:val="24"/>
          <w:szCs w:val="24"/>
        </w:rPr>
        <w:t xml:space="preserve">O canal endemico foi implementado como componente interativo do painel regional da 15a RS, com filtragem dinamica por municipio. Para os 30 municipios da regional, o canal foi calculado com base na serie agregada da 15a RS e aplicado a cada municipio individualmente, reconhecendo que municipios de menor porte apresentam alta variabilidade inter-anual que pode comprometer a estabilidade dos limiares calculados isoladamente.</w:t>
      </w:r>
    </w:p>
    <w:p>
      <w:pPr>
        <w:pStyle w:val="Heading1"/>
        <w:spacing w:after="160" w:before="360"/>
      </w:pPr>
      <w:r>
        <w:rPr>
          <w:rFonts w:ascii="Arial" w:cs="Arial" w:eastAsia="Arial" w:hAnsi="Arial"/>
          <w:b/>
          <w:bCs/>
          <w:color w:val="1F5496"/>
          <w:sz w:val="28"/>
          <w:szCs w:val="28"/>
        </w:rPr>
        <w:t xml:space="preserve">9. Desenvolvimento do Dashboard Interativo (DIVEA)</w:t>
      </w:r>
    </w:p>
    <w:p>
      <w:pPr>
        <w:spacing w:after="200"/>
        <w:jc w:val="both"/>
      </w:pPr>
      <w:r>
        <w:rPr>
          <w:rFonts w:ascii="Arial" w:cs="Arial" w:eastAsia="Arial" w:hAnsi="Arial"/>
          <w:sz w:val="24"/>
          <w:szCs w:val="24"/>
        </w:rPr>
        <w:t xml:space="preserve">O prototipo funcional do Dashboard Interativo de Vigilancia Epidemiologica Aumentada (DIVEA) foi desenvolvido em Python utilizando o framework Streamlit (versao 1.x). A escolha do Streamlit fundamenta-se em tres criterios: (a) integracao nativa com o ecossistema Python de ciencia de dados, permitindo incorporar os modelos LSTM e TFT sem camadas intermediarias de conversao; (b) capacidade de atualizacao interativa em resposta a filtros do usuario sem necessidade de re-renderizacao completa do documento, diferenciando-se das abordagens estaticas como Quarto/R Markdown; e (c) curva de aprendizado reduzida para manutencao futura pela equipe da 15a RS.</w:t>
      </w:r>
    </w:p>
    <w:p>
      <w:pPr>
        <w:spacing w:after="200"/>
        <w:jc w:val="both"/>
      </w:pPr>
      <w:r>
        <w:rPr>
          <w:rFonts w:ascii="Arial" w:cs="Arial" w:eastAsia="Arial" w:hAnsi="Arial"/>
          <w:sz w:val="24"/>
          <w:szCs w:val="24"/>
        </w:rPr>
        <w:t xml:space="preserve">Foram desenvolvidos dois paineis complementares: o painel geral do Parana (DIVEA) e o painel regional da 15a RS de Maringa.</w:t>
      </w:r>
    </w:p>
    <w:p>
      <w:pPr>
        <w:pStyle w:val="Heading2"/>
        <w:spacing w:after="120" w:before="280"/>
      </w:pPr>
      <w:r>
        <w:rPr>
          <w:rFonts w:ascii="Arial" w:cs="Arial" w:eastAsia="Arial" w:hAnsi="Arial"/>
          <w:b/>
          <w:bCs/>
          <w:color w:val="2E75B6"/>
          <w:sz w:val="24"/>
          <w:szCs w:val="24"/>
        </w:rPr>
        <w:t xml:space="preserve">9.1 Painel Geral — DIVEA (Parana)</w:t>
      </w:r>
    </w:p>
    <w:p>
      <w:pPr>
        <w:spacing w:after="200"/>
        <w:jc w:val="both"/>
      </w:pPr>
      <w:r>
        <w:rPr>
          <w:rFonts w:ascii="Arial" w:cs="Arial" w:eastAsia="Arial" w:hAnsi="Arial"/>
          <w:sz w:val="24"/>
          <w:szCs w:val="24"/>
        </w:rPr>
        <w:t xml:space="preserve">O painel geral integra quatro visoes definidas a partir dos requisitos de vigilancia epidemiologica: (1) Situacao atual: metricas de incidencia, mortalidade e ocupacao hospitalar com filtragem por ano, incluindo total de casos, obitos, internacoes em UTI e numero de municipios afetados; (2) Serie historica: grafico interativo da serie temporal semanal de SRAG de 2018 a 2026, com identificacao visual dos periodos pandemico e pos-pandemico; (3) Analise espacial: mapa de clusters LISA com codificacao cromatica por tipo de cluster (HH, HL, LH, LL) e tabela de municipios em alerta estatisticamente significativo; e (4) Previsao de curto prazo: estimativas para as proximas quatro semanas geradas pelos modelos LSTM otimizado e TFT, com atualizacao automatica a partir da serie historica carregada.</w:t>
      </w:r>
    </w:p>
    <w:p>
      <w:pPr>
        <w:pStyle w:val="Heading2"/>
        <w:spacing w:after="120" w:before="280"/>
      </w:pPr>
      <w:r>
        <w:rPr>
          <w:rFonts w:ascii="Arial" w:cs="Arial" w:eastAsia="Arial" w:hAnsi="Arial"/>
          <w:b/>
          <w:bCs/>
          <w:color w:val="2E75B6"/>
          <w:sz w:val="24"/>
          <w:szCs w:val="24"/>
        </w:rPr>
        <w:t xml:space="preserve">9.2 Painel Regional — 15a RS de Maringa</w:t>
      </w:r>
    </w:p>
    <w:p>
      <w:pPr>
        <w:spacing w:after="200"/>
        <w:jc w:val="both"/>
      </w:pPr>
      <w:r>
        <w:rPr>
          <w:rFonts w:ascii="Arial" w:cs="Arial" w:eastAsia="Arial" w:hAnsi="Arial"/>
          <w:sz w:val="24"/>
          <w:szCs w:val="24"/>
        </w:rPr>
        <w:t xml:space="preserve">O painel regional da 15a RS integra seis componentes: (1) Filtros duplos por ano e por municipio, permitindo analise de cada um dos 30 municipios da regional de forma individual; (2) Metricas de situacao atual adaptadas ao recorte geografico selecionado; (3) Canal endemico com visualizacao das quatro zonas de atividade epidemica e posicionamento da curva do ano corrente em relacao ao historico; (4) Mapa de distribuicao geografica dos casos nos 30 municipios com escala cromatica proporcional ao volume de casos; (5) Indicadores de circulacao viral por agente etiologico (Influenza, SARS-CoV-2 e VSR); e (6) Grafico de curva epidemiologica semanal com comparativo anual.</w:t>
      </w:r>
    </w:p>
    <w:p>
      <w:pPr>
        <w:pStyle w:val="Heading2"/>
        <w:spacing w:after="120" w:before="280"/>
      </w:pPr>
      <w:r>
        <w:rPr>
          <w:rFonts w:ascii="Arial" w:cs="Arial" w:eastAsia="Arial" w:hAnsi="Arial"/>
          <w:b/>
          <w:bCs/>
          <w:color w:val="2E75B6"/>
          <w:sz w:val="24"/>
          <w:szCs w:val="24"/>
        </w:rPr>
        <w:t xml:space="preserve">9.3 Ambiente computacional e infraestrutura</w:t>
      </w:r>
    </w:p>
    <w:p>
      <w:pPr>
        <w:spacing w:after="200"/>
        <w:jc w:val="both"/>
      </w:pPr>
      <w:r>
        <w:rPr>
          <w:rFonts w:ascii="Arial" w:cs="Arial" w:eastAsia="Arial" w:hAnsi="Arial"/>
          <w:sz w:val="24"/>
          <w:szCs w:val="24"/>
        </w:rPr>
        <w:t xml:space="preserve">O ambiente computacional utilizado foi Ubuntu 26.04 LTS, Python 3.11, PyTorch 2.11 com suporte CUDA 12.8 e GPU NVIDIA GeForce RTX 5060 Ti (16 GB VRAM, arquitetura Blackwell). O acesso remoto ao servidor e realizado via SSH sobre Tailscale VPN, com JupyterLab disponivel na porta 8888 e os dashboards Streamlit nas portas 8501 (DIVEA Parana) e 8502 (15a RS). O versionamento do codigo foi realizado com Git, com repositorio privado hospedado no GitHub (github.com/valentim1979/divea-tese). Os modelos treinados sao serializados em formato PyTorch (.pt) e armazenados em diretorio dedicado, permitindo carregamento direto nos dashboards sem necessidade de retreinamento.</w:t>
      </w:r>
    </w:p>
    <w:p>
      <w:pPr>
        <w:spacing w:after="200"/>
        <w:jc w:val="both"/>
      </w:pPr>
      <w:r>
        <w:rPr>
          <w:rFonts w:ascii="Arial" w:cs="Arial" w:eastAsia="Arial" w:hAnsi="Arial"/>
          <w:sz w:val="24"/>
          <w:szCs w:val="24"/>
        </w:rPr>
        <w:t xml:space="preserve">O ambiente TFT requer configuracao especifica: pytorch-forecasting 1.1.1 em conjunto com lightning 2.6.1, com o Trainer do pacote lightning.pytorch (nao pytorch_lightning) para compatibilidade com a hierarquia de heranca do TemporalFusionTransformer. Essa incompatibilidade de versoes e documentada como limitacao tecnica relevante para reproducao do ambiente.</w:t>
      </w:r>
    </w:p>
    <w:p>
      <w:pPr>
        <w:pStyle w:val="Heading1"/>
        <w:spacing w:after="160" w:before="360"/>
      </w:pPr>
      <w:r>
        <w:rPr>
          <w:rFonts w:ascii="Arial" w:cs="Arial" w:eastAsia="Arial" w:hAnsi="Arial"/>
          <w:b/>
          <w:bCs/>
          <w:color w:val="1F5496"/>
          <w:sz w:val="28"/>
          <w:szCs w:val="28"/>
        </w:rPr>
        <w:t xml:space="preserve">10. Referencias Bibliograficas Metodologicas</w:t>
      </w:r>
    </w:p>
    <w:p>
      <w:pPr>
        <w:spacing w:after="200"/>
        <w:jc w:val="both"/>
      </w:pPr>
      <w:r>
        <w:rPr>
          <w:rFonts w:ascii="Arial" w:cs="Arial" w:eastAsia="Arial" w:hAnsi="Arial"/>
          <w:sz w:val="24"/>
          <w:szCs w:val="24"/>
        </w:rPr>
        <w:t xml:space="preserve">Lim, B., Arik, S. O., Loeff, N., &amp; Pfister, T. (2021). Temporal fusion transformers for interpretable multi-horizon time series forecasting. International Journal of Forecasting, 37(4), 1748-1764.</w:t>
      </w:r>
    </w:p>
    <w:p>
      <w:pPr>
        <w:spacing w:after="200"/>
        <w:jc w:val="both"/>
      </w:pPr>
      <w:r>
        <w:rPr>
          <w:rFonts w:ascii="Arial" w:cs="Arial" w:eastAsia="Arial" w:hAnsi="Arial"/>
          <w:sz w:val="24"/>
          <w:szCs w:val="24"/>
        </w:rPr>
        <w:t xml:space="preserve">Butkevych, M. et al. (2021). Simulation of influenza dynamics with LSTM deep learning model. CEUR Workshop Proceedings.</w:t>
      </w:r>
    </w:p>
    <w:p>
      <w:pPr>
        <w:spacing w:after="200"/>
        <w:jc w:val="both"/>
      </w:pPr>
      <w:r>
        <w:rPr>
          <w:rFonts w:ascii="Arial" w:cs="Arial" w:eastAsia="Arial" w:hAnsi="Arial"/>
          <w:sz w:val="24"/>
          <w:szCs w:val="24"/>
        </w:rPr>
        <w:t xml:space="preserve">Anselin, L. (1995). Local indicators of spatial association — LISA. Geographical Analysis, 27(2), 93-115.</w:t>
      </w:r>
    </w:p>
    <w:p>
      <w:pPr>
        <w:spacing w:after="200"/>
        <w:jc w:val="both"/>
      </w:pPr>
      <w:r>
        <w:rPr>
          <w:rFonts w:ascii="Arial" w:cs="Arial" w:eastAsia="Arial" w:hAnsi="Arial"/>
          <w:sz w:val="24"/>
          <w:szCs w:val="24"/>
        </w:rPr>
        <w:t xml:space="preserve">Organizacao Pan-Americana da Saude (OPAS). (2010). Metodo do canal endemico. Modulo de Principios de Epidemiologia para o Controle de Enfermidades (MOPECE).</w:t>
      </w:r>
    </w:p>
    <w:p>
      <w:pPr>
        <w:spacing w:after="200"/>
        <w:jc w:val="both"/>
      </w:pPr>
      <w:r>
        <w:rPr>
          <w:rFonts w:ascii="Arial" w:cs="Arial" w:eastAsia="Arial" w:hAnsi="Arial"/>
          <w:sz w:val="24"/>
          <w:szCs w:val="24"/>
        </w:rPr>
        <w:t xml:space="preserve">Rabiei, R. et al. (2024). Developing public health surveillance dashboards: a scoping review on the design principles. BMC Public Health, 24:392.</w:t>
      </w:r>
    </w:p>
    <w:p>
      <w:pPr>
        <w:spacing w:after="200"/>
        <w:jc w:val="both"/>
      </w:pPr>
      <w:r>
        <w:rPr>
          <w:rFonts w:ascii="Arial" w:cs="Arial" w:eastAsia="Arial" w:hAnsi="Arial"/>
          <w:sz w:val="24"/>
          <w:szCs w:val="24"/>
        </w:rPr>
        <w:t xml:space="preserve">Cheah, B. C. J. et al. (2025). Machine Learning and Artificial Intelligence for Infectious Disease Surveillance, Diagnosis, and Prognosis. Viruses, 17(7):882.</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496"/>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2026-05-07T01:38:26.738Z</dcterms:created>
  <dcterms:modified xsi:type="dcterms:W3CDTF">2026-05-07T01:38:26.755Z</dcterms:modified>
</cp:coreProperties>
</file>

<file path=docProps/custom.xml><?xml version="1.0" encoding="utf-8"?>
<Properties xmlns="http://schemas.openxmlformats.org/officeDocument/2006/custom-properties" xmlns:vt="http://schemas.openxmlformats.org/officeDocument/2006/docPropsVTypes"/>
</file>