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C4D" w:rsidRDefault="001329E4">
      <w:pPr>
        <w:tabs>
          <w:tab w:val="left" w:pos="567"/>
        </w:tabs>
        <w:spacing w:line="388" w:lineRule="auto"/>
        <w:ind w:firstLine="0"/>
        <w:rPr>
          <w:sz w:val="28"/>
          <w:szCs w:val="28"/>
        </w:rPr>
      </w:pPr>
      <w:bookmarkStart w:id="0" w:name="_heading=h.gjdgxs" w:colFirst="0" w:colLast="0"/>
      <w:bookmarkEnd w:id="0"/>
      <w:r>
        <w:rPr>
          <w:sz w:val="28"/>
          <w:szCs w:val="28"/>
        </w:rPr>
        <w:t>Salta,       de  ${MesAnio}</w:t>
      </w:r>
    </w:p>
    <w:p w:rsidR="001A1C4D" w:rsidRDefault="001329E4">
      <w:pPr>
        <w:tabs>
          <w:tab w:val="left" w:pos="567"/>
        </w:tabs>
        <w:spacing w:line="388" w:lineRule="auto"/>
        <w:ind w:firstLine="720"/>
        <w:rPr>
          <w:sz w:val="28"/>
          <w:szCs w:val="28"/>
        </w:rPr>
      </w:pPr>
      <w:r>
        <w:rPr>
          <w:b/>
          <w:sz w:val="28"/>
          <w:szCs w:val="28"/>
        </w:rPr>
        <w:t xml:space="preserve">AUTOS Y VISTOS </w:t>
      </w:r>
      <w:r>
        <w:rPr>
          <w:sz w:val="28"/>
          <w:szCs w:val="28"/>
        </w:rPr>
        <w:t xml:space="preserve">para dictar sentencia en este Expte. N° FSA ${NroExp} caratulado ${Caratula}, del que </w:t>
      </w:r>
    </w:p>
    <w:p w:rsidR="001A1C4D" w:rsidRDefault="001329E4">
      <w:pPr>
        <w:tabs>
          <w:tab w:val="left" w:pos="567"/>
        </w:tabs>
        <w:spacing w:line="388" w:lineRule="auto"/>
        <w:ind w:firstLine="720"/>
        <w:rPr>
          <w:b/>
          <w:sz w:val="28"/>
          <w:szCs w:val="28"/>
        </w:rPr>
      </w:pPr>
      <w:r>
        <w:rPr>
          <w:b/>
          <w:sz w:val="28"/>
          <w:szCs w:val="28"/>
        </w:rPr>
        <w:t>RESULTA:</w:t>
      </w:r>
    </w:p>
    <w:p w:rsidR="001A1C4D" w:rsidRDefault="001329E4">
      <w:pPr>
        <w:tabs>
          <w:tab w:val="left" w:pos="851"/>
        </w:tabs>
        <w:spacing w:line="386" w:lineRule="auto"/>
        <w:ind w:firstLine="720"/>
        <w:rPr>
          <w:sz w:val="28"/>
          <w:szCs w:val="28"/>
        </w:rPr>
      </w:pPr>
      <w:r>
        <w:rPr>
          <w:b/>
          <w:sz w:val="28"/>
          <w:szCs w:val="28"/>
        </w:rPr>
        <w:t xml:space="preserve">I.- </w:t>
      </w:r>
      <w:r>
        <w:rPr>
          <w:sz w:val="28"/>
          <w:szCs w:val="28"/>
        </w:rPr>
        <w:t xml:space="preserve">Que el actor, mediante apoderada, dedujo demanda en contra de la Administración Nacional de la Seguridad Social, solicitando una nueva determinación del haber de origen del beneficio que percibe. Asimismo requirió el pago de la retroactividad devengada hasta su efectivo pago, más intereses a la tasa activa y costas. </w:t>
      </w:r>
    </w:p>
    <w:p w:rsidR="001A1C4D" w:rsidRDefault="001329E4">
      <w:pPr>
        <w:tabs>
          <w:tab w:val="left" w:pos="851"/>
        </w:tabs>
        <w:spacing w:line="386" w:lineRule="auto"/>
        <w:ind w:firstLine="720"/>
        <w:rPr>
          <w:sz w:val="28"/>
          <w:szCs w:val="28"/>
        </w:rPr>
      </w:pPr>
      <w:r>
        <w:rPr>
          <w:sz w:val="28"/>
          <w:szCs w:val="28"/>
        </w:rPr>
        <w:t>En abono de su pretensión destacó que obtuvo su beneficio previsional bajo el régimen de la ley 24.241.</w:t>
      </w:r>
    </w:p>
    <w:p w:rsidR="001A1C4D" w:rsidRDefault="001329E4">
      <w:pPr>
        <w:tabs>
          <w:tab w:val="left" w:pos="851"/>
        </w:tabs>
        <w:spacing w:line="386" w:lineRule="auto"/>
        <w:ind w:firstLine="720"/>
        <w:rPr>
          <w:sz w:val="28"/>
          <w:szCs w:val="28"/>
        </w:rPr>
      </w:pPr>
      <w:r>
        <w:rPr>
          <w:sz w:val="28"/>
          <w:szCs w:val="28"/>
        </w:rPr>
        <w:t>Manifestó que corresponde recalcular el haber inicial en base a las remuneraciones percibidas debidamente actualizadas a la fecha de percepción del primer haber jubilatorio, aplicando el índice del salario básico de la industria manufacturera y construcción  -en adelante ISBIC– para las prestaciones que componen su haber así como para el recálculo de la PBU y la posterior movilidad del haber inicial en función de la variación del índice general de remuneraciones publicado por el INDEC, con más la movilidad correspondiente.</w:t>
      </w:r>
    </w:p>
    <w:p w:rsidR="001A1C4D" w:rsidRDefault="001329E4">
      <w:pPr>
        <w:tabs>
          <w:tab w:val="left" w:pos="851"/>
        </w:tabs>
        <w:spacing w:line="386" w:lineRule="auto"/>
        <w:ind w:firstLine="720"/>
        <w:rPr>
          <w:b/>
          <w:color w:val="FF0000"/>
          <w:sz w:val="28"/>
          <w:szCs w:val="28"/>
        </w:rPr>
      </w:pPr>
      <w:r>
        <w:rPr>
          <w:sz w:val="28"/>
          <w:szCs w:val="28"/>
        </w:rPr>
        <w:t>${PideError}</w:t>
      </w:r>
    </w:p>
    <w:p w:rsidR="001A1C4D" w:rsidRDefault="001329E4">
      <w:pPr>
        <w:tabs>
          <w:tab w:val="left" w:pos="851"/>
        </w:tabs>
        <w:spacing w:line="360" w:lineRule="auto"/>
        <w:ind w:firstLine="720"/>
        <w:rPr>
          <w:sz w:val="28"/>
          <w:szCs w:val="28"/>
        </w:rPr>
      </w:pPr>
      <w:r>
        <w:rPr>
          <w:sz w:val="28"/>
          <w:szCs w:val="28"/>
        </w:rPr>
        <w:t>Solicitó la inconstitucionalidad de diversos artículos de la ley 24.241 y normativa concordante por vulnerar garantías constitucionales.</w:t>
      </w:r>
    </w:p>
    <w:p w:rsidR="001A1C4D" w:rsidRDefault="001329E4">
      <w:pPr>
        <w:tabs>
          <w:tab w:val="left" w:pos="851"/>
        </w:tabs>
        <w:spacing w:line="386" w:lineRule="auto"/>
        <w:ind w:firstLine="720"/>
        <w:rPr>
          <w:b/>
          <w:color w:val="FF0000"/>
          <w:sz w:val="28"/>
          <w:szCs w:val="28"/>
        </w:rPr>
      </w:pPr>
      <w:r>
        <w:rPr>
          <w:sz w:val="28"/>
          <w:szCs w:val="28"/>
        </w:rPr>
        <w:t>${PideTasa}</w:t>
      </w:r>
    </w:p>
    <w:p w:rsidR="001A1C4D" w:rsidRDefault="001329E4">
      <w:pPr>
        <w:tabs>
          <w:tab w:val="left" w:pos="851"/>
        </w:tabs>
        <w:spacing w:line="386" w:lineRule="auto"/>
        <w:ind w:firstLine="720"/>
        <w:rPr>
          <w:b/>
          <w:color w:val="FF0000"/>
          <w:sz w:val="28"/>
          <w:szCs w:val="28"/>
        </w:rPr>
      </w:pPr>
      <w:r>
        <w:rPr>
          <w:sz w:val="28"/>
          <w:szCs w:val="28"/>
        </w:rPr>
        <w:t>${PideExim}</w:t>
      </w:r>
    </w:p>
    <w:p w:rsidR="001A1C4D" w:rsidRDefault="001329E4">
      <w:pPr>
        <w:tabs>
          <w:tab w:val="left" w:pos="851"/>
        </w:tabs>
        <w:spacing w:line="360" w:lineRule="auto"/>
        <w:ind w:firstLine="720"/>
        <w:rPr>
          <w:sz w:val="28"/>
          <w:szCs w:val="28"/>
        </w:rPr>
      </w:pPr>
      <w:r>
        <w:rPr>
          <w:sz w:val="28"/>
          <w:szCs w:val="28"/>
        </w:rPr>
        <w:t>Finalmente fundó su derecho y ofreció prueba.</w:t>
      </w:r>
    </w:p>
    <w:p w:rsidR="001A1C4D" w:rsidRDefault="001329E4">
      <w:pPr>
        <w:spacing w:line="388" w:lineRule="auto"/>
        <w:ind w:firstLine="720"/>
        <w:rPr>
          <w:sz w:val="28"/>
          <w:szCs w:val="28"/>
        </w:rPr>
      </w:pPr>
      <w:r>
        <w:rPr>
          <w:b/>
          <w:sz w:val="28"/>
          <w:szCs w:val="28"/>
        </w:rPr>
        <w:lastRenderedPageBreak/>
        <w:t xml:space="preserve">II.- </w:t>
      </w:r>
      <w:r>
        <w:rPr>
          <w:sz w:val="28"/>
          <w:szCs w:val="28"/>
        </w:rPr>
        <w:t>Que la Administración Nacional de la Seguridad Social, a través de su representante legal, planteó la prescripción de la acción en los términos del art. 168 de la ley 24.241 y art. 82 de la ley 18.037.</w:t>
      </w:r>
    </w:p>
    <w:p w:rsidR="001A1C4D" w:rsidRDefault="001329E4">
      <w:pPr>
        <w:tabs>
          <w:tab w:val="left" w:pos="567"/>
          <w:tab w:val="left" w:pos="851"/>
          <w:tab w:val="left" w:pos="1134"/>
        </w:tabs>
        <w:spacing w:line="386" w:lineRule="auto"/>
        <w:ind w:firstLine="720"/>
        <w:rPr>
          <w:sz w:val="28"/>
          <w:szCs w:val="28"/>
        </w:rPr>
      </w:pPr>
      <w:r>
        <w:rPr>
          <w:sz w:val="28"/>
          <w:szCs w:val="28"/>
        </w:rPr>
        <w:t xml:space="preserve">Realizó una negativa general de los hechos invocados en la demanda solicitando su rechazo. </w:t>
      </w:r>
    </w:p>
    <w:p w:rsidR="001A1C4D" w:rsidRDefault="001329E4">
      <w:pPr>
        <w:tabs>
          <w:tab w:val="left" w:pos="567"/>
          <w:tab w:val="left" w:pos="851"/>
          <w:tab w:val="left" w:pos="1134"/>
        </w:tabs>
        <w:spacing w:line="386" w:lineRule="auto"/>
        <w:ind w:firstLine="720"/>
        <w:rPr>
          <w:sz w:val="28"/>
          <w:szCs w:val="28"/>
        </w:rPr>
      </w:pPr>
      <w:r>
        <w:rPr>
          <w:sz w:val="28"/>
          <w:szCs w:val="28"/>
        </w:rPr>
        <w:t>Ensayó una explicación del modo de calcular las prestaciones que componen el haber.</w:t>
      </w:r>
    </w:p>
    <w:p w:rsidR="001A1C4D" w:rsidRDefault="001329E4">
      <w:pPr>
        <w:tabs>
          <w:tab w:val="left" w:pos="851"/>
          <w:tab w:val="left" w:pos="1134"/>
        </w:tabs>
        <w:spacing w:line="386" w:lineRule="auto"/>
        <w:ind w:firstLine="720"/>
        <w:rPr>
          <w:sz w:val="28"/>
          <w:szCs w:val="28"/>
        </w:rPr>
      </w:pPr>
      <w:r>
        <w:rPr>
          <w:sz w:val="28"/>
          <w:szCs w:val="28"/>
        </w:rPr>
        <w:t>A los fines de la actualización del haber inicial consideró la aplicación del índice RIPTE por resultar ser a su entender el índice más equitativo, pues refleja la evolución del promedio de remuneraciones de todos los trabajadores estables del sector activo y es el único no distorsionado ya que no se elabora en base a una encuesta.</w:t>
      </w:r>
    </w:p>
    <w:p w:rsidR="001A1C4D" w:rsidRDefault="001329E4">
      <w:pPr>
        <w:tabs>
          <w:tab w:val="left" w:pos="851"/>
          <w:tab w:val="left" w:pos="1134"/>
        </w:tabs>
        <w:spacing w:line="386" w:lineRule="auto"/>
        <w:ind w:firstLine="720"/>
        <w:rPr>
          <w:sz w:val="28"/>
          <w:szCs w:val="28"/>
        </w:rPr>
      </w:pPr>
      <w:r>
        <w:rPr>
          <w:sz w:val="28"/>
          <w:szCs w:val="28"/>
        </w:rPr>
        <w:t>Sostuvo la validez constitucional de los topes.</w:t>
      </w:r>
    </w:p>
    <w:p w:rsidR="001A1C4D" w:rsidRDefault="001329E4">
      <w:pPr>
        <w:tabs>
          <w:tab w:val="left" w:pos="567"/>
        </w:tabs>
        <w:spacing w:line="386" w:lineRule="auto"/>
        <w:ind w:firstLine="720"/>
      </w:pPr>
      <w:r>
        <w:rPr>
          <w:sz w:val="28"/>
          <w:szCs w:val="28"/>
        </w:rPr>
        <w:t>Finalmente fundó su derecho, ofreció prueba e hizo reserva del caso federal.</w:t>
      </w:r>
    </w:p>
    <w:p w:rsidR="001A1C4D" w:rsidRDefault="001329E4">
      <w:pPr>
        <w:tabs>
          <w:tab w:val="left" w:pos="567"/>
        </w:tabs>
        <w:spacing w:line="388" w:lineRule="auto"/>
        <w:ind w:firstLine="720"/>
        <w:rPr>
          <w:sz w:val="28"/>
          <w:szCs w:val="28"/>
        </w:rPr>
      </w:pPr>
      <w:r>
        <w:rPr>
          <w:b/>
          <w:sz w:val="28"/>
          <w:szCs w:val="28"/>
        </w:rPr>
        <w:t>III.-</w:t>
      </w:r>
      <w:r>
        <w:rPr>
          <w:sz w:val="28"/>
          <w:szCs w:val="28"/>
        </w:rPr>
        <w:t xml:space="preserve"> ${ContestaExc}</w:t>
      </w:r>
    </w:p>
    <w:p w:rsidR="001A1C4D" w:rsidRDefault="001329E4">
      <w:pPr>
        <w:tabs>
          <w:tab w:val="left" w:pos="567"/>
        </w:tabs>
        <w:spacing w:line="360" w:lineRule="auto"/>
        <w:ind w:firstLine="720"/>
        <w:rPr>
          <w:sz w:val="28"/>
          <w:szCs w:val="28"/>
        </w:rPr>
      </w:pPr>
      <w:r>
        <w:rPr>
          <w:b/>
          <w:sz w:val="28"/>
          <w:szCs w:val="28"/>
        </w:rPr>
        <w:t>IV.-</w:t>
      </w:r>
      <w:r>
        <w:rPr>
          <w:sz w:val="28"/>
          <w:szCs w:val="28"/>
        </w:rPr>
        <w:t xml:space="preserve"> Que se corrió vista al Sr. Fiscal Federal,  quien se pronunció en favor de la procedencia parcial de la demanda, dictaminando en favor de la pretensión.</w:t>
      </w:r>
    </w:p>
    <w:p w:rsidR="001A1C4D" w:rsidRDefault="001329E4">
      <w:pPr>
        <w:tabs>
          <w:tab w:val="left" w:pos="567"/>
        </w:tabs>
        <w:spacing w:line="360" w:lineRule="auto"/>
        <w:ind w:firstLine="720"/>
        <w:rPr>
          <w:sz w:val="28"/>
          <w:szCs w:val="28"/>
        </w:rPr>
      </w:pPr>
      <w:r>
        <w:rPr>
          <w:sz w:val="28"/>
          <w:szCs w:val="28"/>
        </w:rPr>
        <w:t>Finalmente, se llamaron autos para dictar sentencia; y</w:t>
      </w:r>
    </w:p>
    <w:p w:rsidR="001A1C4D" w:rsidRDefault="001329E4">
      <w:pPr>
        <w:tabs>
          <w:tab w:val="left" w:pos="567"/>
        </w:tabs>
        <w:spacing w:line="388" w:lineRule="auto"/>
        <w:ind w:firstLine="720"/>
        <w:rPr>
          <w:b/>
          <w:sz w:val="28"/>
          <w:szCs w:val="28"/>
        </w:rPr>
      </w:pPr>
      <w:r>
        <w:rPr>
          <w:b/>
          <w:sz w:val="28"/>
          <w:szCs w:val="28"/>
        </w:rPr>
        <w:t>CONSIDERANDO:</w:t>
      </w:r>
    </w:p>
    <w:p w:rsidR="001A1C4D" w:rsidRDefault="001329E4">
      <w:pPr>
        <w:tabs>
          <w:tab w:val="left" w:pos="567"/>
        </w:tabs>
        <w:spacing w:line="360" w:lineRule="auto"/>
        <w:ind w:firstLine="708"/>
        <w:rPr>
          <w:sz w:val="28"/>
          <w:szCs w:val="28"/>
        </w:rPr>
      </w:pPr>
      <w:r>
        <w:rPr>
          <w:b/>
          <w:sz w:val="28"/>
          <w:szCs w:val="28"/>
        </w:rPr>
        <w:t>I.-</w:t>
      </w:r>
      <w:r>
        <w:rPr>
          <w:sz w:val="28"/>
          <w:szCs w:val="28"/>
        </w:rPr>
        <w:t xml:space="preserve"> Que tal como se ha sostenido en diversos precedentes, en el análisis y resolución de las controversias relacionadas con beneficios de carácter alimentario como el presente, no debe perderse de vista que entre los principios fundamentales del derecho laboral y previsional, tiene vital </w:t>
      </w:r>
      <w:r>
        <w:rPr>
          <w:sz w:val="28"/>
          <w:szCs w:val="28"/>
        </w:rPr>
        <w:lastRenderedPageBreak/>
        <w:t>importancia el protectorio, abarcador de distintas normas legales en particular, y criterio de interpretación del caso concreto. Así, es en base a la regla mencionada que deberán interpretarse las soluciones a las que se arriben, con una apreciación de la prueba colectada que la valore con un carácter de amplitud, evitando a toda costa un excesivo rigorismo formal, y estando siempre a lo que sea más favorable a la persona involucrada.</w:t>
      </w:r>
    </w:p>
    <w:p w:rsidR="001A1C4D" w:rsidRDefault="001329E4">
      <w:pPr>
        <w:tabs>
          <w:tab w:val="left" w:pos="567"/>
        </w:tabs>
        <w:spacing w:line="360" w:lineRule="auto"/>
        <w:ind w:firstLine="720"/>
        <w:rPr>
          <w:sz w:val="28"/>
          <w:szCs w:val="28"/>
        </w:rPr>
      </w:pPr>
      <w:r>
        <w:rPr>
          <w:sz w:val="28"/>
          <w:szCs w:val="28"/>
        </w:rPr>
        <w:t xml:space="preserve">En este sentido, la Corte Suprema de Justicia de la Nación ha dicho que </w:t>
      </w:r>
      <w:r>
        <w:rPr>
          <w:i/>
          <w:sz w:val="28"/>
          <w:szCs w:val="28"/>
        </w:rPr>
        <w:t>“teniendo la seguridad social como cometido propio la cobertura integral de las consecuencias producidas por las contingencias sociales, el apego excesivo al texto de las normas sin apreciar las circunstancias particulares de cada caso, no se aviene con la cautela con que los jueces deben juzgar las peticiones vinculadas con la materia previsional”</w:t>
      </w:r>
      <w:r>
        <w:rPr>
          <w:sz w:val="28"/>
          <w:szCs w:val="28"/>
        </w:rPr>
        <w:t xml:space="preserve"> (Fallos: 313:79).</w:t>
      </w:r>
    </w:p>
    <w:p w:rsidR="001A1C4D" w:rsidRDefault="001329E4">
      <w:pPr>
        <w:tabs>
          <w:tab w:val="left" w:pos="567"/>
          <w:tab w:val="left" w:pos="851"/>
        </w:tabs>
        <w:spacing w:line="388" w:lineRule="auto"/>
        <w:ind w:firstLine="0"/>
        <w:rPr>
          <w:color w:val="FF0000"/>
          <w:sz w:val="28"/>
          <w:szCs w:val="28"/>
        </w:rPr>
      </w:pPr>
      <w:r>
        <w:rPr>
          <w:b/>
          <w:sz w:val="28"/>
          <w:szCs w:val="28"/>
        </w:rPr>
        <w:tab/>
        <w:t xml:space="preserve">II.- </w:t>
      </w:r>
      <w:r>
        <w:rPr>
          <w:sz w:val="28"/>
          <w:szCs w:val="28"/>
        </w:rPr>
        <w:t>Que según surge de las constancias de autos la parte actora accedió a su ${JubPen} Nº ${NroJP} bajo el amparo de la ley 24.241, con fecha de adquisición del derecho al  ${FecAdq}, la que comprende la Prestación Básica Universal (PBU), la Prestación Compensatoria (PC) ${TienePAP}.</w:t>
      </w:r>
    </w:p>
    <w:p w:rsidR="001A1C4D" w:rsidRDefault="001329E4">
      <w:pPr>
        <w:rPr>
          <w:b/>
          <w:color w:val="00B050"/>
          <w:sz w:val="28"/>
          <w:szCs w:val="28"/>
        </w:rPr>
      </w:pPr>
      <w:r>
        <w:rPr>
          <w:sz w:val="28"/>
          <w:szCs w:val="28"/>
        </w:rPr>
        <w:t>${PlanteaError}</w:t>
      </w:r>
    </w:p>
    <w:p w:rsidR="001A1C4D" w:rsidRDefault="001329E4">
      <w:pPr>
        <w:pBdr>
          <w:top w:val="nil"/>
          <w:left w:val="nil"/>
          <w:bottom w:val="nil"/>
          <w:right w:val="nil"/>
          <w:between w:val="nil"/>
        </w:pBdr>
        <w:spacing w:line="360" w:lineRule="auto"/>
        <w:rPr>
          <w:sz w:val="28"/>
          <w:szCs w:val="28"/>
        </w:rPr>
      </w:pPr>
      <w:r>
        <w:rPr>
          <w:b/>
          <w:sz w:val="28"/>
          <w:szCs w:val="28"/>
        </w:rPr>
        <w:t>III.-</w:t>
      </w:r>
      <w:r>
        <w:rPr>
          <w:sz w:val="28"/>
          <w:szCs w:val="28"/>
        </w:rPr>
        <w:t xml:space="preserve"> </w:t>
      </w:r>
      <w:r>
        <w:rPr>
          <w:sz w:val="28"/>
          <w:szCs w:val="28"/>
        </w:rPr>
        <w:tab/>
        <w:t>${</w:t>
      </w:r>
      <w:r w:rsidR="00C05922">
        <w:rPr>
          <w:sz w:val="28"/>
          <w:szCs w:val="28"/>
        </w:rPr>
        <w:t>FecAdq_1_2</w:t>
      </w:r>
      <w:r>
        <w:rPr>
          <w:sz w:val="28"/>
          <w:szCs w:val="28"/>
        </w:rPr>
        <w:t>}</w:t>
      </w:r>
    </w:p>
    <w:p w:rsidR="001A1C4D" w:rsidRDefault="001329E4">
      <w:pPr>
        <w:pBdr>
          <w:top w:val="nil"/>
          <w:left w:val="nil"/>
          <w:bottom w:val="nil"/>
          <w:right w:val="nil"/>
          <w:between w:val="nil"/>
        </w:pBdr>
        <w:spacing w:line="360" w:lineRule="auto"/>
        <w:ind w:firstLine="707"/>
        <w:rPr>
          <w:b/>
          <w:sz w:val="28"/>
          <w:szCs w:val="28"/>
        </w:rPr>
      </w:pPr>
      <w:r>
        <w:rPr>
          <w:b/>
          <w:sz w:val="28"/>
          <w:szCs w:val="28"/>
        </w:rPr>
        <w:t xml:space="preserve">IV.-   </w:t>
      </w:r>
      <w:r>
        <w:rPr>
          <w:sz w:val="28"/>
          <w:szCs w:val="28"/>
        </w:rPr>
        <w:t>${</w:t>
      </w:r>
      <w:r w:rsidR="00663DFF" w:rsidRPr="00663DFF">
        <w:rPr>
          <w:sz w:val="28"/>
          <w:szCs w:val="28"/>
        </w:rPr>
        <w:t>FecAdq_3_4_5</w:t>
      </w:r>
      <w:r>
        <w:rPr>
          <w:sz w:val="28"/>
          <w:szCs w:val="28"/>
        </w:rPr>
        <w:t>}</w:t>
      </w:r>
    </w:p>
    <w:p w:rsidR="001A1C4D" w:rsidRDefault="001329E4">
      <w:pPr>
        <w:pBdr>
          <w:top w:val="nil"/>
          <w:left w:val="nil"/>
          <w:bottom w:val="nil"/>
          <w:right w:val="nil"/>
          <w:between w:val="nil"/>
        </w:pBdr>
        <w:tabs>
          <w:tab w:val="left" w:pos="851"/>
        </w:tabs>
        <w:spacing w:line="360" w:lineRule="auto"/>
        <w:rPr>
          <w:color w:val="000000"/>
          <w:sz w:val="28"/>
          <w:szCs w:val="28"/>
        </w:rPr>
      </w:pPr>
      <w:r>
        <w:rPr>
          <w:b/>
          <w:color w:val="000000"/>
          <w:sz w:val="28"/>
          <w:szCs w:val="28"/>
        </w:rPr>
        <w:t xml:space="preserve">V.- </w:t>
      </w:r>
      <w:r>
        <w:rPr>
          <w:color w:val="000000"/>
          <w:sz w:val="28"/>
          <w:szCs w:val="28"/>
        </w:rPr>
        <w:t xml:space="preserve">Que en relación a la pretensión de la parte actora en cuanto a la actualización de la Prestación Básica Universal (PBU) regulada por los artículos 19 y 20 de la ley 24.241, cabe destacar que la ley 26.417 que en su art. 4 (modificatorio del art. 20 de la ley 24.241) estableció el monto de la PBU en la suma fija de $ 326 y a partir de marzo de 2009 en la suma de $ 364,10, a la que luego se le otorgaron los aumentos generales. A dicho cálculo se arribó aplicando sobre la PBU de $ 200 vigente al 31.05.2006 (2,5 </w:t>
      </w:r>
      <w:r>
        <w:rPr>
          <w:color w:val="000000"/>
          <w:sz w:val="28"/>
          <w:szCs w:val="28"/>
        </w:rPr>
        <w:lastRenderedPageBreak/>
        <w:t>AMPO/MOPRE), los aumentos correspondientes a Junio de 2006 a Marzo de 2009.</w:t>
      </w:r>
    </w:p>
    <w:p w:rsidR="001A1C4D" w:rsidRDefault="001329E4">
      <w:pPr>
        <w:pBdr>
          <w:top w:val="nil"/>
          <w:left w:val="nil"/>
          <w:bottom w:val="nil"/>
          <w:right w:val="nil"/>
          <w:between w:val="nil"/>
        </w:pBdr>
        <w:tabs>
          <w:tab w:val="left" w:pos="851"/>
        </w:tabs>
        <w:spacing w:line="360" w:lineRule="auto"/>
        <w:rPr>
          <w:color w:val="000000"/>
          <w:sz w:val="28"/>
          <w:szCs w:val="28"/>
        </w:rPr>
      </w:pPr>
      <w:r>
        <w:rPr>
          <w:color w:val="000000"/>
          <w:sz w:val="28"/>
          <w:szCs w:val="28"/>
        </w:rPr>
        <w:t>No obstante que el art. 32 originario de la ley 24.241 dispuso que las prestaciones debían ser móviles en función de dos estimaciones consecutivas del AMPO, al ser este último sustituido por el MOPRE por el art. 1º del Decreto 833/97, la PBU quedó congelada desde el 01.04.1997 hasta el 28.02.2009.</w:t>
      </w:r>
    </w:p>
    <w:p w:rsidR="001A1C4D" w:rsidRDefault="001329E4">
      <w:pPr>
        <w:pBdr>
          <w:top w:val="nil"/>
          <w:left w:val="nil"/>
          <w:bottom w:val="nil"/>
          <w:right w:val="nil"/>
          <w:between w:val="nil"/>
        </w:pBdr>
        <w:tabs>
          <w:tab w:val="left" w:pos="851"/>
        </w:tabs>
        <w:spacing w:line="360" w:lineRule="auto"/>
        <w:rPr>
          <w:b/>
          <w:color w:val="000000"/>
          <w:sz w:val="28"/>
          <w:szCs w:val="28"/>
        </w:rPr>
      </w:pPr>
      <w:r>
        <w:rPr>
          <w:color w:val="000000"/>
          <w:sz w:val="28"/>
          <w:szCs w:val="28"/>
        </w:rPr>
        <w:t xml:space="preserve">En Este punto es dable destacar que de la doctrina sentada por la Corte en el precedente “Quiroga” se desprende que </w:t>
      </w:r>
      <w:r>
        <w:rPr>
          <w:b/>
          <w:color w:val="000000"/>
          <w:sz w:val="28"/>
          <w:szCs w:val="28"/>
        </w:rPr>
        <w:t xml:space="preserve">la totalidad del haber inicial resulta revisable. </w:t>
      </w:r>
    </w:p>
    <w:p w:rsidR="001A1C4D" w:rsidRDefault="001329E4">
      <w:pPr>
        <w:pBdr>
          <w:top w:val="nil"/>
          <w:left w:val="nil"/>
          <w:bottom w:val="nil"/>
          <w:right w:val="nil"/>
          <w:between w:val="nil"/>
        </w:pBdr>
        <w:tabs>
          <w:tab w:val="left" w:pos="851"/>
        </w:tabs>
        <w:spacing w:line="360" w:lineRule="auto"/>
        <w:rPr>
          <w:color w:val="000000"/>
          <w:sz w:val="28"/>
          <w:szCs w:val="28"/>
        </w:rPr>
      </w:pPr>
      <w:r>
        <w:rPr>
          <w:color w:val="000000"/>
          <w:sz w:val="28"/>
          <w:szCs w:val="28"/>
        </w:rPr>
        <w:t>En tal entendimiento, aun tratándose la PBU de una suma fija para todo el universo pasivo, en la medida en que se demuestre que la falta de actualización del AMPO/MOPRE originario sobre el cual se determina la suma fija prevista en el art. 4 de la ley 26.417, implique una quita que resulte confiscatoria, corresponde diferir para el momento de determinarse las sumas de condena la demostración de la eventual confiscatoriedad de la merma en relación a toda la prestación.</w:t>
      </w:r>
    </w:p>
    <w:p w:rsidR="001A1C4D" w:rsidRDefault="001A1C4D">
      <w:pPr>
        <w:pBdr>
          <w:top w:val="nil"/>
          <w:left w:val="nil"/>
          <w:bottom w:val="nil"/>
          <w:right w:val="nil"/>
          <w:between w:val="nil"/>
        </w:pBdr>
        <w:tabs>
          <w:tab w:val="left" w:pos="851"/>
        </w:tabs>
        <w:spacing w:line="360" w:lineRule="auto"/>
        <w:rPr>
          <w:color w:val="00B0F0"/>
          <w:sz w:val="28"/>
          <w:szCs w:val="28"/>
        </w:rPr>
      </w:pPr>
    </w:p>
    <w:p w:rsidR="001A1C4D" w:rsidRDefault="001329E4">
      <w:pPr>
        <w:rPr>
          <w:b/>
          <w:color w:val="00B050"/>
          <w:sz w:val="28"/>
          <w:szCs w:val="28"/>
        </w:rPr>
      </w:pPr>
      <w:r>
        <w:rPr>
          <w:b/>
          <w:sz w:val="28"/>
          <w:szCs w:val="28"/>
        </w:rPr>
        <w:t>VI.-</w:t>
      </w:r>
      <w:r>
        <w:rPr>
          <w:sz w:val="28"/>
          <w:szCs w:val="28"/>
        </w:rPr>
        <w:t xml:space="preserve"> ${TasaFallo}</w:t>
      </w:r>
    </w:p>
    <w:p w:rsidR="001A1C4D" w:rsidRDefault="001A1C4D">
      <w:pPr>
        <w:pBdr>
          <w:top w:val="nil"/>
          <w:left w:val="nil"/>
          <w:bottom w:val="nil"/>
          <w:right w:val="nil"/>
          <w:between w:val="nil"/>
        </w:pBdr>
        <w:spacing w:line="240" w:lineRule="auto"/>
        <w:ind w:left="720" w:firstLine="0"/>
        <w:jc w:val="left"/>
        <w:rPr>
          <w:color w:val="000000"/>
        </w:rPr>
      </w:pPr>
    </w:p>
    <w:p w:rsidR="001A1C4D" w:rsidRDefault="001329E4">
      <w:pPr>
        <w:pBdr>
          <w:top w:val="nil"/>
          <w:left w:val="nil"/>
          <w:bottom w:val="nil"/>
          <w:right w:val="nil"/>
          <w:between w:val="nil"/>
        </w:pBdr>
        <w:spacing w:line="240" w:lineRule="auto"/>
        <w:ind w:left="720" w:firstLine="0"/>
        <w:rPr>
          <w:color w:val="000000"/>
        </w:rPr>
      </w:pPr>
      <w:r>
        <w:rPr>
          <w:b/>
          <w:color w:val="000000"/>
          <w:sz w:val="28"/>
          <w:szCs w:val="28"/>
        </w:rPr>
        <w:t xml:space="preserve">VII.- </w:t>
      </w:r>
      <w:r>
        <w:rPr>
          <w:sz w:val="28"/>
          <w:szCs w:val="28"/>
        </w:rPr>
        <w:t>${PideEximG}</w:t>
      </w:r>
    </w:p>
    <w:p w:rsidR="001A1C4D" w:rsidRDefault="001A1C4D">
      <w:pPr>
        <w:spacing w:line="360" w:lineRule="auto"/>
        <w:rPr>
          <w:b/>
          <w:sz w:val="28"/>
          <w:szCs w:val="28"/>
        </w:rPr>
      </w:pPr>
    </w:p>
    <w:p w:rsidR="001A1C4D" w:rsidRDefault="001329E4">
      <w:pPr>
        <w:spacing w:line="360" w:lineRule="auto"/>
        <w:rPr>
          <w:sz w:val="28"/>
          <w:szCs w:val="28"/>
        </w:rPr>
      </w:pPr>
      <w:r>
        <w:rPr>
          <w:b/>
          <w:sz w:val="28"/>
          <w:szCs w:val="28"/>
        </w:rPr>
        <w:t>VIII.-</w:t>
      </w:r>
      <w:r>
        <w:rPr>
          <w:sz w:val="28"/>
          <w:szCs w:val="28"/>
        </w:rPr>
        <w:t xml:space="preserve"> Que para el caso de que se hubieran acreditado servicios con anterioridad al 15 de julio de 1994 -fecha en la que comenzó a regir el Libro I de la ley 24.241 (conf. arts. 24 y 23 inc. b)-  por un monto superior al tope de 35 años fijado por el art. 24 inc. a) de la ley 24.241, y en el supuesto de que no hubieran sido computados los años excedentes en el cómputo de la </w:t>
      </w:r>
      <w:r>
        <w:rPr>
          <w:sz w:val="28"/>
          <w:szCs w:val="28"/>
        </w:rPr>
        <w:lastRenderedPageBreak/>
        <w:t>Prestación Compensatoria (PC), corresponderá declarar la inconstitucionalidad del art. 24 inc. a) de la ley 24.241, con fundamento en la doctrina sostenida por el Máximo Tribunal en los autos “Barrios, Idilio Anelio c/ ANSeS s/ Reajustes Varios” de fecha 21.08.2013.</w:t>
      </w:r>
    </w:p>
    <w:p w:rsidR="001A1C4D" w:rsidRDefault="001329E4">
      <w:pPr>
        <w:spacing w:line="360" w:lineRule="auto"/>
        <w:ind w:firstLine="720"/>
        <w:rPr>
          <w:sz w:val="28"/>
          <w:szCs w:val="28"/>
        </w:rPr>
      </w:pPr>
      <w:r>
        <w:rPr>
          <w:sz w:val="28"/>
          <w:szCs w:val="28"/>
        </w:rPr>
        <w:t xml:space="preserve">  </w:t>
      </w:r>
      <w:r>
        <w:rPr>
          <w:b/>
          <w:sz w:val="28"/>
          <w:szCs w:val="28"/>
        </w:rPr>
        <w:t>IX.-</w:t>
      </w:r>
      <w:r>
        <w:rPr>
          <w:sz w:val="28"/>
          <w:szCs w:val="28"/>
        </w:rPr>
        <w:t xml:space="preserve"> Que en caso de que la Prestación Compensatoria (PC) redeterminada según pautas fijadas en este pronunciamiento, resulte alcanzada por el tope del art. 26 de la ley 24.241, en cuanto la merma del haber resulte confiscatoria -de acuerdo con la doctrina de la Corte Suprema de Justicia de la Nación de Fallos: 323:4216 y 329:3211- corresponderá declarar su inconstitucionalidad, de conformidad al precedente “Argento, Federico Ernesto c/ ANSeS s/ Reajustes Varios”, emitido por el Máximo Tribunal fecha 26.03.2013, en donde se consideró que dicha norma introdujo como límite un factor extraño al esfuerzo contibutivo personal, al disponer que el haber máximo de la prestación compensatoria sería equivalente a una vez el AMPO por cada año de servicios.</w:t>
      </w:r>
    </w:p>
    <w:p w:rsidR="001A1C4D" w:rsidRDefault="001329E4">
      <w:pPr>
        <w:tabs>
          <w:tab w:val="left" w:pos="1134"/>
        </w:tabs>
        <w:spacing w:line="360" w:lineRule="auto"/>
        <w:ind w:firstLine="0"/>
        <w:rPr>
          <w:sz w:val="28"/>
          <w:szCs w:val="28"/>
        </w:rPr>
      </w:pPr>
      <w:r>
        <w:rPr>
          <w:b/>
          <w:sz w:val="28"/>
          <w:szCs w:val="28"/>
        </w:rPr>
        <w:tab/>
        <w:t xml:space="preserve">X.- </w:t>
      </w:r>
      <w:r>
        <w:rPr>
          <w:sz w:val="28"/>
          <w:szCs w:val="28"/>
        </w:rPr>
        <w:t>Que en relación a los arts. 9 y 25 de la ley 24.241, corresponde destacar que el primero de ello, a los fines del cálculo de los aportes y contribuciones correspondientes al sistema integrado de jubilaciones y pensiones (S.I.J.P.) establece que las remuneraciones no podrán ser inferiores al importe equivalente a 3 veces el valor del módulo previsional (MOPRE). A su vez, determina que a los fines exclusivamente del cálculo de los aportes previstos en los incisos a) y c) del art. 10, la mencionada base imponible previsional tendrá un límite máximo equivalente a 75 veces el valor del módulo previsional (MOPRE).</w:t>
      </w:r>
    </w:p>
    <w:p w:rsidR="001A1C4D" w:rsidRDefault="001329E4">
      <w:pPr>
        <w:tabs>
          <w:tab w:val="left" w:pos="1134"/>
        </w:tabs>
        <w:spacing w:line="360" w:lineRule="auto"/>
        <w:ind w:firstLine="1418"/>
        <w:rPr>
          <w:sz w:val="28"/>
          <w:szCs w:val="28"/>
        </w:rPr>
      </w:pPr>
      <w:r>
        <w:rPr>
          <w:sz w:val="28"/>
          <w:szCs w:val="28"/>
        </w:rPr>
        <w:t xml:space="preserve">Por su parte, el art. 25 dispone que para establecer el promedio de las remuneraciones no se considerará el sueldo anual complementario, ni </w:t>
      </w:r>
      <w:r>
        <w:rPr>
          <w:sz w:val="28"/>
          <w:szCs w:val="28"/>
        </w:rPr>
        <w:lastRenderedPageBreak/>
        <w:t>los importes que en virtud de lo establecido en el segundo párrafo del art. 9° excedan el máximo fijado en el primer párrafo del mismo artículo.</w:t>
      </w:r>
    </w:p>
    <w:p w:rsidR="001A1C4D" w:rsidRDefault="001329E4">
      <w:pPr>
        <w:tabs>
          <w:tab w:val="left" w:pos="1134"/>
        </w:tabs>
        <w:spacing w:line="360" w:lineRule="auto"/>
        <w:ind w:firstLine="1418"/>
        <w:rPr>
          <w:sz w:val="28"/>
          <w:szCs w:val="28"/>
        </w:rPr>
      </w:pPr>
      <w:r>
        <w:rPr>
          <w:sz w:val="28"/>
          <w:szCs w:val="28"/>
        </w:rPr>
        <w:t>Tal como reconociera la Corte Suprema de Justicia de la Nación en el antecedente “Gualtieri”, del 11/04/2017, las normas citadas establecen un límite máximo sobre el cual no deben efectuarse aportes con destino a la seguridad social. Este tope fue fijado inicialmente como un múltiplo de las unidades de cuenta del sistema (AMPO y MOPRE) y posteriormente se estableció como una suma determinada que en la actualidad es de $72.289,62.- tal como lo dispone el art. 7° de la resolución de ANSeS 34-E/2017 (consid. 7°).</w:t>
      </w:r>
    </w:p>
    <w:p w:rsidR="001A1C4D" w:rsidRDefault="001329E4">
      <w:pPr>
        <w:tabs>
          <w:tab w:val="left" w:pos="1134"/>
        </w:tabs>
        <w:spacing w:line="360" w:lineRule="auto"/>
        <w:ind w:firstLine="1418"/>
        <w:rPr>
          <w:sz w:val="28"/>
          <w:szCs w:val="28"/>
        </w:rPr>
      </w:pPr>
      <w:r>
        <w:rPr>
          <w:sz w:val="28"/>
          <w:szCs w:val="28"/>
        </w:rPr>
        <w:t xml:space="preserve">De esta manera, al no aportarse sobre la totalidad de los ingresos estado en actividad, “la prohibición de cómputo contenida en el mencionado art. 25 no es más que la lógica consecuencia de la falta de cotizaciones (consid. 9° del referido precedente). </w:t>
      </w:r>
    </w:p>
    <w:p w:rsidR="001A1C4D" w:rsidRDefault="001329E4">
      <w:pPr>
        <w:tabs>
          <w:tab w:val="left" w:pos="1134"/>
        </w:tabs>
        <w:spacing w:line="360" w:lineRule="auto"/>
        <w:ind w:firstLine="1418"/>
        <w:rPr>
          <w:sz w:val="28"/>
          <w:szCs w:val="28"/>
        </w:rPr>
      </w:pPr>
      <w:r>
        <w:rPr>
          <w:sz w:val="28"/>
          <w:szCs w:val="28"/>
        </w:rPr>
        <w:t>En tal sentido se afirmó que “permitir que el trabajador que cotizó solo por una parte de su salario de actividad, en virtud del límite contenido en el art. 9 de la ley 24.241, obtenga una prestación que incluya las sumas por las que no contribuyó al sistema, constituiría un verdadero subsidio contrario a la protección del esfuerzo contributivo realizado por el conjunto de los afiliados (consid. 11°).</w:t>
      </w:r>
    </w:p>
    <w:p w:rsidR="001A1C4D" w:rsidRDefault="001329E4">
      <w:pPr>
        <w:spacing w:line="360" w:lineRule="auto"/>
        <w:ind w:firstLine="720"/>
        <w:rPr>
          <w:sz w:val="28"/>
          <w:szCs w:val="28"/>
        </w:rPr>
      </w:pPr>
      <w:r>
        <w:rPr>
          <w:sz w:val="28"/>
          <w:szCs w:val="28"/>
        </w:rPr>
        <w:t xml:space="preserve"> Por lo tanto, en caso de que el haber hubiera sido calculado por el organismo con aplicación del tope de los arts. 9 y 25 de la ley 24.241, corresponderá estar a lo dispuesto por la Corte Suprema</w:t>
      </w:r>
    </w:p>
    <w:p w:rsidR="001A1C4D" w:rsidRDefault="001329E4">
      <w:pPr>
        <w:spacing w:line="360" w:lineRule="auto"/>
        <w:ind w:firstLine="720"/>
        <w:rPr>
          <w:sz w:val="28"/>
          <w:szCs w:val="28"/>
        </w:rPr>
      </w:pPr>
      <w:r>
        <w:rPr>
          <w:b/>
          <w:sz w:val="28"/>
          <w:szCs w:val="28"/>
        </w:rPr>
        <w:t>XI.-</w:t>
      </w:r>
      <w:r>
        <w:rPr>
          <w:sz w:val="28"/>
          <w:szCs w:val="28"/>
        </w:rPr>
        <w:t xml:space="preserve"> Que en cuanto al art. 14 de la Resolución SSS 6/09 que reglamentara el art. 24 de la ley 24.241 estableciendo un tope a las </w:t>
      </w:r>
      <w:r>
        <w:rPr>
          <w:sz w:val="28"/>
          <w:szCs w:val="28"/>
        </w:rPr>
        <w:lastRenderedPageBreak/>
        <w:t>remuneraciones actualizadas, corresponde declarar su inaplicabilidad atento a que dicha norma incurre en un exceso reglamentario.</w:t>
      </w:r>
    </w:p>
    <w:p w:rsidR="001A1C4D" w:rsidRDefault="001329E4">
      <w:pPr>
        <w:spacing w:line="360" w:lineRule="auto"/>
        <w:ind w:firstLine="720"/>
        <w:rPr>
          <w:sz w:val="28"/>
          <w:szCs w:val="28"/>
        </w:rPr>
      </w:pPr>
      <w:r>
        <w:rPr>
          <w:b/>
          <w:sz w:val="28"/>
          <w:szCs w:val="28"/>
        </w:rPr>
        <w:t>XII.-</w:t>
      </w:r>
      <w:r>
        <w:rPr>
          <w:sz w:val="28"/>
          <w:szCs w:val="28"/>
        </w:rPr>
        <w:t xml:space="preserve"> Que en relación al tope del art. 9 inc. 3° de la ley 24.463, corresponderá su diferimiento para la etapa de ejecución.</w:t>
      </w:r>
    </w:p>
    <w:p w:rsidR="001A1C4D" w:rsidRDefault="001329E4">
      <w:pPr>
        <w:pBdr>
          <w:top w:val="nil"/>
          <w:left w:val="nil"/>
          <w:bottom w:val="nil"/>
          <w:right w:val="nil"/>
          <w:between w:val="nil"/>
        </w:pBdr>
        <w:tabs>
          <w:tab w:val="left" w:pos="567"/>
        </w:tabs>
        <w:spacing w:line="360" w:lineRule="auto"/>
        <w:rPr>
          <w:color w:val="000000"/>
          <w:sz w:val="28"/>
          <w:szCs w:val="28"/>
        </w:rPr>
      </w:pPr>
      <w:r>
        <w:rPr>
          <w:b/>
          <w:color w:val="000000"/>
          <w:sz w:val="28"/>
          <w:szCs w:val="28"/>
        </w:rPr>
        <w:t>XIII.-</w:t>
      </w:r>
      <w:r>
        <w:rPr>
          <w:color w:val="000000"/>
          <w:sz w:val="28"/>
          <w:szCs w:val="28"/>
        </w:rPr>
        <w:t xml:space="preserve"> Que cabe señalar que el art. 7 de la ley 23.928 -modificado por el art. 4 de ley 25.561- estableció la prohibición de actualización monetaria, disposición que continúa vigente a la fecha del dictado de la presente. Por lo tanto, dicho planteo no podrá prosperar.</w:t>
      </w:r>
    </w:p>
    <w:p w:rsidR="001A1C4D" w:rsidRDefault="001329E4">
      <w:pPr>
        <w:tabs>
          <w:tab w:val="left" w:pos="567"/>
        </w:tabs>
        <w:spacing w:line="360" w:lineRule="auto"/>
        <w:ind w:firstLine="720"/>
        <w:rPr>
          <w:b/>
          <w:sz w:val="28"/>
          <w:szCs w:val="28"/>
        </w:rPr>
      </w:pPr>
      <w:r>
        <w:rPr>
          <w:b/>
          <w:sz w:val="28"/>
          <w:szCs w:val="28"/>
        </w:rPr>
        <w:t>XIV.-</w:t>
      </w:r>
      <w:r>
        <w:rPr>
          <w:sz w:val="28"/>
          <w:szCs w:val="28"/>
        </w:rPr>
        <w:t xml:space="preserve"> Que de conformidad a lo resuelto por la Corte Suprema de Justicia de la Nación en el precedente “Flagello, Vicente” (Fallos: 331:1873), corresponde estar por la validez del art. 21 de la ley 24.463.</w:t>
      </w:r>
    </w:p>
    <w:p w:rsidR="001A1C4D" w:rsidRDefault="001329E4">
      <w:pPr>
        <w:tabs>
          <w:tab w:val="left" w:pos="567"/>
        </w:tabs>
        <w:spacing w:line="388" w:lineRule="auto"/>
        <w:rPr>
          <w:sz w:val="28"/>
          <w:szCs w:val="28"/>
        </w:rPr>
      </w:pPr>
      <w:r>
        <w:rPr>
          <w:b/>
          <w:sz w:val="28"/>
          <w:szCs w:val="28"/>
        </w:rPr>
        <w:t>XV.-</w:t>
      </w:r>
      <w:r>
        <w:rPr>
          <w:sz w:val="28"/>
          <w:szCs w:val="28"/>
        </w:rPr>
        <w:t xml:space="preserve"> Que se ha dicho que la declaración de inconstitucionalidad de las leyes solamente puede efectuarse cuando es indispensable para resolver el caso ya que constituye un acto de suma gravedad institucional y una de las más delicadas funciones susceptibles de encomendarse a un tribunal de justicia y por ello debe ser considerada la última </w:t>
      </w:r>
      <w:r>
        <w:rPr>
          <w:i/>
          <w:sz w:val="28"/>
          <w:szCs w:val="28"/>
        </w:rPr>
        <w:t>ratio</w:t>
      </w:r>
      <w:r>
        <w:rPr>
          <w:sz w:val="28"/>
          <w:szCs w:val="28"/>
        </w:rPr>
        <w:t xml:space="preserve"> del ordenamiento jurídico y sólo debe ejercerse cuando la repugnancia con la cláusula constitucional es manifiesta y la incompatibilidad inconciliable (Fallos: 304:849; 307:531; 322:919, entre muchos otros). Por tal motivo, serán rechazados los restantes planteos de inconstitucionalidad solicitados.</w:t>
      </w:r>
    </w:p>
    <w:p w:rsidR="001A1C4D" w:rsidRDefault="001329E4">
      <w:pPr>
        <w:tabs>
          <w:tab w:val="left" w:pos="567"/>
        </w:tabs>
        <w:spacing w:line="388" w:lineRule="auto"/>
        <w:ind w:firstLine="720"/>
        <w:rPr>
          <w:sz w:val="28"/>
          <w:szCs w:val="28"/>
        </w:rPr>
      </w:pPr>
      <w:r>
        <w:rPr>
          <w:b/>
          <w:sz w:val="28"/>
          <w:szCs w:val="28"/>
        </w:rPr>
        <w:t>XVI.-</w:t>
      </w:r>
      <w:r>
        <w:rPr>
          <w:sz w:val="28"/>
          <w:szCs w:val="28"/>
        </w:rPr>
        <w:t xml:space="preserve"> Que en cuanto a lo solicitado respecto a la tasa de interés, el planteo formulado encuentra adecuada respuesta en “Spitale” (Fallos: 327:3721), en el que se resolvió que la tasa pasiva promedio que elabora el Banco Central de la República Argentina es adecuadamente satisfactoria del menoscabo patrimonial sufrido por la demandante, en el marco de la índole </w:t>
      </w:r>
      <w:r>
        <w:rPr>
          <w:sz w:val="28"/>
          <w:szCs w:val="28"/>
        </w:rPr>
        <w:lastRenderedPageBreak/>
        <w:t>previsional de la relación jurídica en examen, el carácter alimentario de las prestaciones adeudadas y el período de estabilidad del valor de la moneda durante el lapso que corresponde a la deuda reclamada.</w:t>
      </w:r>
    </w:p>
    <w:p w:rsidR="001A1C4D" w:rsidRDefault="001329E4">
      <w:pPr>
        <w:tabs>
          <w:tab w:val="left" w:pos="567"/>
        </w:tabs>
        <w:spacing w:line="388" w:lineRule="auto"/>
        <w:ind w:firstLine="720"/>
        <w:rPr>
          <w:b/>
          <w:color w:val="00B050"/>
          <w:sz w:val="28"/>
          <w:szCs w:val="28"/>
        </w:rPr>
      </w:pPr>
      <w:r>
        <w:rPr>
          <w:b/>
          <w:sz w:val="28"/>
          <w:szCs w:val="28"/>
        </w:rPr>
        <w:t>XVII.-</w:t>
      </w:r>
      <w:r>
        <w:rPr>
          <w:sz w:val="28"/>
          <w:szCs w:val="28"/>
        </w:rPr>
        <w:t xml:space="preserve"> ${FecIni}</w:t>
      </w:r>
    </w:p>
    <w:p w:rsidR="001A1C4D" w:rsidRDefault="001329E4">
      <w:pPr>
        <w:tabs>
          <w:tab w:val="left" w:pos="567"/>
        </w:tabs>
        <w:spacing w:line="388" w:lineRule="auto"/>
        <w:ind w:firstLine="720"/>
        <w:rPr>
          <w:color w:val="FF0000"/>
          <w:sz w:val="28"/>
          <w:szCs w:val="28"/>
        </w:rPr>
      </w:pPr>
      <w:r>
        <w:rPr>
          <w:b/>
          <w:sz w:val="28"/>
          <w:szCs w:val="28"/>
        </w:rPr>
        <w:t xml:space="preserve">XVIII.- </w:t>
      </w:r>
      <w:r>
        <w:rPr>
          <w:sz w:val="28"/>
          <w:szCs w:val="28"/>
        </w:rPr>
        <w:t>${Tiempo}</w:t>
      </w:r>
    </w:p>
    <w:p w:rsidR="001A1C4D" w:rsidRDefault="001329E4">
      <w:pPr>
        <w:tabs>
          <w:tab w:val="left" w:pos="567"/>
        </w:tabs>
        <w:spacing w:line="360" w:lineRule="auto"/>
        <w:rPr>
          <w:sz w:val="28"/>
          <w:szCs w:val="28"/>
        </w:rPr>
      </w:pPr>
      <w:r>
        <w:rPr>
          <w:b/>
          <w:sz w:val="28"/>
          <w:szCs w:val="28"/>
        </w:rPr>
        <w:t xml:space="preserve">XIX.- </w:t>
      </w:r>
      <w:r>
        <w:rPr>
          <w:sz w:val="28"/>
          <w:szCs w:val="28"/>
        </w:rPr>
        <w:t>Que el plazo de cumplimiento de la presente se fija en 120 días hábiles (art. 22 de la ley 24.463, modificado por el art. 2 de la ley 26.153), haciéndole saber a las partes que surgiendo del Sistema Lex 100 las sentencias y sus respectivas notificaciones, no se certificarán copias de dichas piezas.</w:t>
      </w:r>
    </w:p>
    <w:p w:rsidR="001A1C4D" w:rsidRDefault="001329E4">
      <w:pPr>
        <w:tabs>
          <w:tab w:val="left" w:pos="567"/>
        </w:tabs>
        <w:spacing w:line="360" w:lineRule="auto"/>
        <w:ind w:firstLine="708"/>
        <w:rPr>
          <w:sz w:val="28"/>
          <w:szCs w:val="28"/>
        </w:rPr>
      </w:pPr>
      <w:r>
        <w:rPr>
          <w:sz w:val="28"/>
          <w:szCs w:val="28"/>
        </w:rPr>
        <w:t>Asimismo, se hace saber que en caso de no existir expedientes administrativos para devolver, el plazo de cumplimiento indicado se computará a partir de que quede firme la presente y no desde la recepción del oficio de cumplimiento de sentencia.</w:t>
      </w:r>
    </w:p>
    <w:p w:rsidR="001A1C4D" w:rsidRDefault="001329E4">
      <w:pPr>
        <w:tabs>
          <w:tab w:val="left" w:pos="567"/>
        </w:tabs>
        <w:spacing w:line="360" w:lineRule="auto"/>
        <w:ind w:firstLine="708"/>
        <w:rPr>
          <w:sz w:val="28"/>
          <w:szCs w:val="28"/>
        </w:rPr>
      </w:pPr>
      <w:r>
        <w:rPr>
          <w:b/>
          <w:sz w:val="28"/>
          <w:szCs w:val="28"/>
        </w:rPr>
        <w:t>XX.-</w:t>
      </w:r>
      <w:r>
        <w:rPr>
          <w:sz w:val="28"/>
          <w:szCs w:val="28"/>
        </w:rPr>
        <w:t xml:space="preserve"> Que las costas se imponen por el orden causado, tal como lo dispone el artículo 21 de la Ley 24.463.</w:t>
      </w:r>
    </w:p>
    <w:p w:rsidR="001A1C4D" w:rsidRDefault="001329E4">
      <w:pPr>
        <w:tabs>
          <w:tab w:val="left" w:pos="567"/>
        </w:tabs>
        <w:spacing w:line="388" w:lineRule="auto"/>
        <w:ind w:firstLine="720"/>
        <w:rPr>
          <w:sz w:val="28"/>
          <w:szCs w:val="28"/>
        </w:rPr>
      </w:pPr>
      <w:r>
        <w:rPr>
          <w:sz w:val="28"/>
          <w:szCs w:val="28"/>
        </w:rPr>
        <w:t>En mérito de lo cual,</w:t>
      </w:r>
    </w:p>
    <w:p w:rsidR="001A1C4D" w:rsidRDefault="001329E4">
      <w:pPr>
        <w:tabs>
          <w:tab w:val="left" w:pos="567"/>
        </w:tabs>
        <w:spacing w:line="388" w:lineRule="auto"/>
        <w:ind w:firstLine="720"/>
        <w:rPr>
          <w:b/>
          <w:sz w:val="28"/>
          <w:szCs w:val="28"/>
        </w:rPr>
      </w:pPr>
      <w:r>
        <w:rPr>
          <w:b/>
          <w:sz w:val="28"/>
          <w:szCs w:val="28"/>
        </w:rPr>
        <w:t>FALLO:</w:t>
      </w:r>
    </w:p>
    <w:p w:rsidR="001A1C4D" w:rsidRDefault="001329E4">
      <w:pPr>
        <w:pBdr>
          <w:top w:val="nil"/>
          <w:left w:val="nil"/>
          <w:bottom w:val="nil"/>
          <w:right w:val="nil"/>
          <w:between w:val="nil"/>
        </w:pBdr>
        <w:tabs>
          <w:tab w:val="left" w:pos="851"/>
        </w:tabs>
        <w:spacing w:line="360" w:lineRule="auto"/>
        <w:rPr>
          <w:color w:val="000000"/>
          <w:sz w:val="28"/>
          <w:szCs w:val="28"/>
        </w:rPr>
      </w:pPr>
      <w:r>
        <w:rPr>
          <w:b/>
          <w:color w:val="000000"/>
          <w:sz w:val="28"/>
          <w:szCs w:val="28"/>
        </w:rPr>
        <w:t xml:space="preserve">I.- HACIENDO LUGAR PARCIALMENTE </w:t>
      </w:r>
      <w:r>
        <w:rPr>
          <w:color w:val="000000"/>
          <w:sz w:val="28"/>
          <w:szCs w:val="28"/>
        </w:rPr>
        <w:t xml:space="preserve">a la demanda  </w:t>
      </w:r>
      <w:r>
        <w:rPr>
          <w:sz w:val="28"/>
          <w:szCs w:val="28"/>
        </w:rPr>
        <w:t xml:space="preserve">promovida por el </w:t>
      </w:r>
      <w:r w:rsidRPr="00781E07">
        <w:rPr>
          <w:sz w:val="28"/>
          <w:szCs w:val="28"/>
        </w:rPr>
        <w:t>Sr.</w:t>
      </w:r>
      <w:r>
        <w:rPr>
          <w:b/>
          <w:sz w:val="28"/>
          <w:szCs w:val="28"/>
        </w:rPr>
        <w:t xml:space="preserve"> </w:t>
      </w:r>
      <w:r>
        <w:rPr>
          <w:sz w:val="28"/>
          <w:szCs w:val="28"/>
        </w:rPr>
        <w:t>${NomActor},</w:t>
      </w:r>
      <w:r>
        <w:rPr>
          <w:b/>
          <w:sz w:val="28"/>
          <w:szCs w:val="28"/>
        </w:rPr>
        <w:t xml:space="preserve"> </w:t>
      </w:r>
      <w:r w:rsidRPr="00781E07">
        <w:rPr>
          <w:sz w:val="28"/>
          <w:szCs w:val="28"/>
        </w:rPr>
        <w:t xml:space="preserve">DNI </w:t>
      </w:r>
      <w:r>
        <w:rPr>
          <w:sz w:val="28"/>
          <w:szCs w:val="28"/>
        </w:rPr>
        <w:t xml:space="preserve">${DniActor} en </w:t>
      </w:r>
      <w:r>
        <w:rPr>
          <w:color w:val="000000"/>
          <w:sz w:val="28"/>
          <w:szCs w:val="28"/>
        </w:rPr>
        <w:t xml:space="preserve">contra de la Administración Nacional de la Seguridad Social, y en consecuencia </w:t>
      </w:r>
      <w:r>
        <w:rPr>
          <w:b/>
          <w:color w:val="000000"/>
          <w:sz w:val="28"/>
          <w:szCs w:val="28"/>
        </w:rPr>
        <w:t>ORDENAR</w:t>
      </w:r>
      <w:r>
        <w:rPr>
          <w:color w:val="000000"/>
          <w:sz w:val="28"/>
          <w:szCs w:val="28"/>
        </w:rPr>
        <w:t xml:space="preserve"> que se recalculen las prestaciones integrantes del haber inicial de su beneficio jubilatorio de la siguiente manera: la Prestación Compensatoria y Prestación Adicional por Permanencia (base del cálculo de éstas de conformidad a los arts. 24 y 30 inc. bº de la ley 24.241) con arreglo al índice de la Resolución ANSeS N° 140/95 (salarios básicos de la industria y </w:t>
      </w:r>
      <w:r>
        <w:rPr>
          <w:color w:val="000000"/>
          <w:sz w:val="28"/>
          <w:szCs w:val="28"/>
        </w:rPr>
        <w:lastRenderedPageBreak/>
        <w:t>construcción -personal no calificado-), con la salvedad que sólo las remuneraciones devengadas hasta el 28 de febrero de 2009 se ajustarán por el ISBIC y con el índice de la ley de movilidad hasta dicha fecha, mientras que las posteriores al 1° de marzo de 2009 se actualizarán de conformidad al índice combinado previsto en el art. 32 de la ley 24.241, texto sustituido por el art. 2 de la ley 26.417, hasta la fecha de adquisición del derecho, sin perjuicio de lo expuesto en torno a la ley 27.541 conforme a lo considerado.</w:t>
      </w:r>
    </w:p>
    <w:p w:rsidR="001A1C4D" w:rsidRDefault="001329E4">
      <w:pPr>
        <w:pBdr>
          <w:top w:val="nil"/>
          <w:left w:val="nil"/>
          <w:bottom w:val="nil"/>
          <w:right w:val="nil"/>
          <w:between w:val="nil"/>
        </w:pBdr>
        <w:tabs>
          <w:tab w:val="left" w:pos="851"/>
        </w:tabs>
        <w:spacing w:line="360" w:lineRule="auto"/>
        <w:rPr>
          <w:color w:val="000000"/>
          <w:sz w:val="28"/>
          <w:szCs w:val="28"/>
        </w:rPr>
      </w:pPr>
      <w:r>
        <w:rPr>
          <w:b/>
          <w:color w:val="000000"/>
          <w:sz w:val="28"/>
          <w:szCs w:val="28"/>
        </w:rPr>
        <w:t xml:space="preserve">II.- ORDENANDO </w:t>
      </w:r>
      <w:r>
        <w:rPr>
          <w:color w:val="000000"/>
          <w:sz w:val="28"/>
          <w:szCs w:val="28"/>
        </w:rPr>
        <w:t xml:space="preserve">el pago al accionante de las sumas que en concepto de retroactivos se determinen en la etapa de liquidación, desde el </w:t>
      </w:r>
      <w:r>
        <w:rPr>
          <w:sz w:val="28"/>
          <w:szCs w:val="28"/>
        </w:rPr>
        <w:t>${FecPedido}</w:t>
      </w:r>
      <w:r>
        <w:rPr>
          <w:color w:val="000000"/>
          <w:sz w:val="28"/>
          <w:szCs w:val="28"/>
        </w:rPr>
        <w:t>, más intereses según la tasa pasiva que publica el Banco Central de la República Argentina, hasta su efectivo pago.</w:t>
      </w:r>
    </w:p>
    <w:p w:rsidR="001A1C4D" w:rsidRDefault="001329E4">
      <w:pPr>
        <w:pBdr>
          <w:top w:val="nil"/>
          <w:left w:val="nil"/>
          <w:bottom w:val="nil"/>
          <w:right w:val="nil"/>
          <w:between w:val="nil"/>
        </w:pBdr>
        <w:tabs>
          <w:tab w:val="left" w:pos="567"/>
          <w:tab w:val="left" w:pos="851"/>
        </w:tabs>
        <w:spacing w:line="360" w:lineRule="auto"/>
        <w:rPr>
          <w:color w:val="000000"/>
          <w:sz w:val="28"/>
          <w:szCs w:val="28"/>
        </w:rPr>
      </w:pPr>
      <w:r>
        <w:rPr>
          <w:b/>
          <w:color w:val="000000"/>
          <w:sz w:val="28"/>
          <w:szCs w:val="28"/>
        </w:rPr>
        <w:t>III.- DIFIRIENDO</w:t>
      </w:r>
      <w:r>
        <w:rPr>
          <w:color w:val="000000"/>
          <w:sz w:val="28"/>
          <w:szCs w:val="28"/>
        </w:rPr>
        <w:t xml:space="preserve"> para la etapa de liquidación la valoración de la procedencia del recálculo de la Prestación Básica Universal de conformidad con los alcances ordenados por la Corte Suprema de Justicia de la Nación en la causa “Quiroga Carlos Alberto”, así como el análisis de la procedencia de la tasa de sustitución. </w:t>
      </w:r>
    </w:p>
    <w:p w:rsidR="001A1C4D" w:rsidRDefault="001329E4">
      <w:pPr>
        <w:tabs>
          <w:tab w:val="left" w:pos="567"/>
        </w:tabs>
        <w:spacing w:line="388" w:lineRule="auto"/>
        <w:ind w:firstLine="720"/>
        <w:rPr>
          <w:sz w:val="28"/>
          <w:szCs w:val="28"/>
        </w:rPr>
      </w:pPr>
      <w:r>
        <w:rPr>
          <w:b/>
          <w:sz w:val="28"/>
          <w:szCs w:val="28"/>
        </w:rPr>
        <w:t xml:space="preserve">IV.- DEJANDO </w:t>
      </w:r>
      <w:r>
        <w:rPr>
          <w:sz w:val="28"/>
          <w:szCs w:val="28"/>
        </w:rPr>
        <w:t>aclarado los criterios a adoptarse en torno a los distintos topes.</w:t>
      </w:r>
    </w:p>
    <w:p w:rsidR="001A1C4D" w:rsidRDefault="001329E4">
      <w:pPr>
        <w:tabs>
          <w:tab w:val="left" w:pos="567"/>
        </w:tabs>
        <w:spacing w:line="360" w:lineRule="auto"/>
        <w:ind w:firstLine="720"/>
        <w:rPr>
          <w:sz w:val="28"/>
          <w:szCs w:val="28"/>
        </w:rPr>
      </w:pPr>
      <w:r>
        <w:rPr>
          <w:b/>
          <w:sz w:val="28"/>
          <w:szCs w:val="28"/>
        </w:rPr>
        <w:t xml:space="preserve">V.- RESERVANDO </w:t>
      </w:r>
      <w:r>
        <w:rPr>
          <w:sz w:val="28"/>
          <w:szCs w:val="28"/>
        </w:rPr>
        <w:t>el planteo de inconstitucionalidad del tope del art. 9 inc. 3° para la etapa de liquidación, conforme lo considerado y rechazando los restantes planteos de inconstitucionalidad.</w:t>
      </w:r>
    </w:p>
    <w:p w:rsidR="001A1C4D" w:rsidRDefault="001329E4">
      <w:pPr>
        <w:tabs>
          <w:tab w:val="left" w:pos="567"/>
        </w:tabs>
        <w:spacing w:line="388" w:lineRule="auto"/>
        <w:ind w:firstLine="720"/>
      </w:pPr>
      <w:r>
        <w:rPr>
          <w:b/>
          <w:sz w:val="28"/>
          <w:szCs w:val="28"/>
        </w:rPr>
        <w:t xml:space="preserve">VI.- </w:t>
      </w:r>
      <w:r>
        <w:rPr>
          <w:sz w:val="28"/>
          <w:szCs w:val="28"/>
        </w:rPr>
        <w:t>${Honorarios}</w:t>
      </w:r>
    </w:p>
    <w:p w:rsidR="001A1C4D" w:rsidRDefault="001329E4">
      <w:pPr>
        <w:tabs>
          <w:tab w:val="left" w:pos="567"/>
        </w:tabs>
        <w:spacing w:line="388" w:lineRule="auto"/>
        <w:ind w:firstLine="720"/>
        <w:rPr>
          <w:sz w:val="28"/>
          <w:szCs w:val="28"/>
        </w:rPr>
      </w:pPr>
      <w:r>
        <w:rPr>
          <w:b/>
          <w:sz w:val="28"/>
          <w:szCs w:val="28"/>
        </w:rPr>
        <w:t xml:space="preserve">VII.- ORDENANDO </w:t>
      </w:r>
      <w:r>
        <w:rPr>
          <w:sz w:val="28"/>
          <w:szCs w:val="28"/>
        </w:rPr>
        <w:t>que el pago de los retroactivos y el reajuste aquí dispuesto, se cumpla en el plazo de 120 días hábiles (art. 22 de la ley 24.463, modificado por el art. 2 de la ley 26.153), cuyo cómputo se hará en la forma indicada en el considerando correspondiente.</w:t>
      </w:r>
    </w:p>
    <w:p w:rsidR="001A1C4D" w:rsidRDefault="001329E4">
      <w:pPr>
        <w:tabs>
          <w:tab w:val="left" w:pos="567"/>
        </w:tabs>
        <w:spacing w:line="388" w:lineRule="auto"/>
        <w:ind w:firstLine="720"/>
        <w:rPr>
          <w:sz w:val="28"/>
          <w:szCs w:val="28"/>
        </w:rPr>
      </w:pPr>
      <w:r>
        <w:rPr>
          <w:b/>
          <w:sz w:val="28"/>
          <w:szCs w:val="28"/>
        </w:rPr>
        <w:lastRenderedPageBreak/>
        <w:t xml:space="preserve">VIII.- IMPONIENDO </w:t>
      </w:r>
      <w:r>
        <w:rPr>
          <w:sz w:val="28"/>
          <w:szCs w:val="28"/>
        </w:rPr>
        <w:t>las</w:t>
      </w:r>
      <w:r>
        <w:rPr>
          <w:b/>
          <w:sz w:val="28"/>
          <w:szCs w:val="28"/>
        </w:rPr>
        <w:t xml:space="preserve"> </w:t>
      </w:r>
      <w:r>
        <w:rPr>
          <w:sz w:val="28"/>
          <w:szCs w:val="28"/>
        </w:rPr>
        <w:t>costas</w:t>
      </w:r>
      <w:r>
        <w:rPr>
          <w:b/>
          <w:sz w:val="28"/>
          <w:szCs w:val="28"/>
        </w:rPr>
        <w:t xml:space="preserve"> </w:t>
      </w:r>
      <w:r>
        <w:rPr>
          <w:sz w:val="28"/>
          <w:szCs w:val="28"/>
        </w:rPr>
        <w:t>por el orden causado (art. 21 de la ley N° 24.463).</w:t>
      </w:r>
    </w:p>
    <w:p w:rsidR="001A1C4D" w:rsidRDefault="001329E4">
      <w:pPr>
        <w:tabs>
          <w:tab w:val="left" w:pos="567"/>
        </w:tabs>
        <w:spacing w:line="388" w:lineRule="auto"/>
        <w:ind w:left="709" w:firstLine="10"/>
        <w:rPr>
          <w:sz w:val="28"/>
          <w:szCs w:val="28"/>
        </w:rPr>
      </w:pPr>
      <w:r>
        <w:rPr>
          <w:b/>
          <w:sz w:val="28"/>
          <w:szCs w:val="28"/>
        </w:rPr>
        <w:t>IX.-</w:t>
      </w:r>
      <w:r>
        <w:rPr>
          <w:sz w:val="28"/>
          <w:szCs w:val="28"/>
        </w:rPr>
        <w:t xml:space="preserve"> </w:t>
      </w:r>
      <w:r>
        <w:rPr>
          <w:b/>
          <w:sz w:val="28"/>
          <w:szCs w:val="28"/>
        </w:rPr>
        <w:t>REGISTRESE</w:t>
      </w:r>
      <w:r>
        <w:rPr>
          <w:sz w:val="28"/>
          <w:szCs w:val="28"/>
        </w:rPr>
        <w:t xml:space="preserve"> y notifíquese.</w:t>
      </w:r>
      <w:r>
        <w:t xml:space="preserve"> </w:t>
      </w:r>
    </w:p>
    <w:p w:rsidR="001A1C4D" w:rsidRDefault="001A1C4D">
      <w:pPr>
        <w:tabs>
          <w:tab w:val="left" w:pos="567"/>
        </w:tabs>
        <w:ind w:firstLine="0"/>
        <w:jc w:val="right"/>
        <w:rPr>
          <w:sz w:val="28"/>
          <w:szCs w:val="28"/>
        </w:rPr>
      </w:pPr>
    </w:p>
    <w:p w:rsidR="001A1C4D" w:rsidRDefault="001A1C4D">
      <w:pPr>
        <w:spacing w:line="360" w:lineRule="auto"/>
      </w:pPr>
    </w:p>
    <w:sectPr w:rsidR="001A1C4D" w:rsidSect="001A1C4D">
      <w:headerReference w:type="default" r:id="rId7"/>
      <w:pgSz w:w="11907" w:h="16839"/>
      <w:pgMar w:top="2552" w:right="851" w:bottom="1418" w:left="2268"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8FE" w:rsidRDefault="00D878FE" w:rsidP="001A1C4D">
      <w:pPr>
        <w:spacing w:line="240" w:lineRule="auto"/>
      </w:pPr>
      <w:r>
        <w:separator/>
      </w:r>
    </w:p>
  </w:endnote>
  <w:endnote w:type="continuationSeparator" w:id="0">
    <w:p w:rsidR="00D878FE" w:rsidRDefault="00D878FE" w:rsidP="001A1C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8FE" w:rsidRDefault="00D878FE" w:rsidP="001A1C4D">
      <w:pPr>
        <w:spacing w:line="240" w:lineRule="auto"/>
      </w:pPr>
      <w:r>
        <w:separator/>
      </w:r>
    </w:p>
  </w:footnote>
  <w:footnote w:type="continuationSeparator" w:id="0">
    <w:p w:rsidR="00D878FE" w:rsidRDefault="00D878FE" w:rsidP="001A1C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4D" w:rsidRDefault="001329E4">
    <w:pPr>
      <w:pBdr>
        <w:top w:val="nil"/>
        <w:left w:val="nil"/>
        <w:bottom w:val="nil"/>
        <w:right w:val="nil"/>
        <w:between w:val="nil"/>
      </w:pBdr>
      <w:tabs>
        <w:tab w:val="center" w:pos="4252"/>
        <w:tab w:val="right" w:pos="8504"/>
      </w:tabs>
      <w:jc w:val="center"/>
      <w:rPr>
        <w:color w:val="000000"/>
        <w:sz w:val="28"/>
        <w:szCs w:val="28"/>
      </w:rPr>
    </w:pPr>
    <w:r>
      <w:rPr>
        <w:noProof/>
        <w:color w:val="000000"/>
        <w:sz w:val="28"/>
        <w:szCs w:val="28"/>
        <w:lang w:val="en-US" w:eastAsia="en-US"/>
      </w:rPr>
      <w:drawing>
        <wp:inline distT="0" distB="0" distL="0" distR="0">
          <wp:extent cx="376555" cy="5765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76555" cy="576580"/>
                  </a:xfrm>
                  <a:prstGeom prst="rect">
                    <a:avLst/>
                  </a:prstGeom>
                  <a:ln/>
                </pic:spPr>
              </pic:pic>
            </a:graphicData>
          </a:graphic>
        </wp:inline>
      </w:drawing>
    </w:r>
  </w:p>
  <w:p w:rsidR="001A1C4D" w:rsidRDefault="001329E4">
    <w:pPr>
      <w:pBdr>
        <w:top w:val="nil"/>
        <w:left w:val="nil"/>
        <w:bottom w:val="nil"/>
        <w:right w:val="nil"/>
        <w:between w:val="nil"/>
      </w:pBdr>
      <w:tabs>
        <w:tab w:val="center" w:pos="4252"/>
        <w:tab w:val="right" w:pos="8504"/>
      </w:tabs>
      <w:spacing w:after="60"/>
      <w:jc w:val="center"/>
      <w:rPr>
        <w:color w:val="000000"/>
        <w:sz w:val="28"/>
        <w:szCs w:val="28"/>
      </w:rPr>
    </w:pPr>
    <w:r>
      <w:rPr>
        <w:color w:val="000000"/>
        <w:sz w:val="28"/>
        <w:szCs w:val="28"/>
      </w:rPr>
      <w:t>Poder Judicial de la Nación</w:t>
    </w:r>
  </w:p>
  <w:p w:rsidR="001A1C4D" w:rsidRDefault="001A1C4D">
    <w:pPr>
      <w:pBdr>
        <w:top w:val="nil"/>
        <w:left w:val="nil"/>
        <w:bottom w:val="nil"/>
        <w:right w:val="nil"/>
        <w:between w:val="nil"/>
      </w:pBdr>
      <w:tabs>
        <w:tab w:val="center" w:pos="4252"/>
        <w:tab w:val="right" w:pos="8504"/>
      </w:tabs>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1"/>
    <w:footnote w:id="0"/>
  </w:footnotePr>
  <w:endnotePr>
    <w:endnote w:id="-1"/>
    <w:endnote w:id="0"/>
  </w:endnotePr>
  <w:compat/>
  <w:rsids>
    <w:rsidRoot w:val="001A1C4D"/>
    <w:rsid w:val="001329E4"/>
    <w:rsid w:val="001A1C4D"/>
    <w:rsid w:val="004E757B"/>
    <w:rsid w:val="00663DFF"/>
    <w:rsid w:val="00781E07"/>
    <w:rsid w:val="00AD69A7"/>
    <w:rsid w:val="00C05922"/>
    <w:rsid w:val="00D878FE"/>
    <w:rsid w:val="00E47FEA"/>
    <w:rsid w:val="00F21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AR" w:eastAsia="en-US" w:bidi="ar-SA"/>
      </w:rPr>
    </w:rPrDefault>
    <w:pPrDefault>
      <w:pPr>
        <w:spacing w:line="288"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065"/>
    <w:pPr>
      <w:suppressAutoHyphens/>
    </w:pPr>
    <w:rPr>
      <w:lang w:eastAsia="ar-SA"/>
    </w:rPr>
  </w:style>
  <w:style w:type="paragraph" w:styleId="Heading1">
    <w:name w:val="heading 1"/>
    <w:basedOn w:val="normal0"/>
    <w:next w:val="normal0"/>
    <w:rsid w:val="001A1C4D"/>
    <w:pPr>
      <w:keepNext/>
      <w:keepLines/>
      <w:spacing w:before="480" w:after="120"/>
      <w:outlineLvl w:val="0"/>
    </w:pPr>
    <w:rPr>
      <w:b/>
      <w:sz w:val="48"/>
      <w:szCs w:val="48"/>
    </w:rPr>
  </w:style>
  <w:style w:type="paragraph" w:styleId="Heading2">
    <w:name w:val="heading 2"/>
    <w:basedOn w:val="normal0"/>
    <w:next w:val="normal0"/>
    <w:rsid w:val="001A1C4D"/>
    <w:pPr>
      <w:keepNext/>
      <w:keepLines/>
      <w:spacing w:before="360" w:after="80"/>
      <w:outlineLvl w:val="1"/>
    </w:pPr>
    <w:rPr>
      <w:b/>
      <w:sz w:val="36"/>
      <w:szCs w:val="36"/>
    </w:rPr>
  </w:style>
  <w:style w:type="paragraph" w:styleId="Heading3">
    <w:name w:val="heading 3"/>
    <w:basedOn w:val="normal0"/>
    <w:next w:val="normal0"/>
    <w:rsid w:val="001A1C4D"/>
    <w:pPr>
      <w:keepNext/>
      <w:keepLines/>
      <w:spacing w:before="280" w:after="80"/>
      <w:outlineLvl w:val="2"/>
    </w:pPr>
    <w:rPr>
      <w:b/>
      <w:sz w:val="28"/>
      <w:szCs w:val="28"/>
    </w:rPr>
  </w:style>
  <w:style w:type="paragraph" w:styleId="Heading4">
    <w:name w:val="heading 4"/>
    <w:basedOn w:val="normal0"/>
    <w:next w:val="normal0"/>
    <w:rsid w:val="001A1C4D"/>
    <w:pPr>
      <w:keepNext/>
      <w:keepLines/>
      <w:spacing w:before="240" w:after="40"/>
      <w:outlineLvl w:val="3"/>
    </w:pPr>
    <w:rPr>
      <w:b/>
    </w:rPr>
  </w:style>
  <w:style w:type="paragraph" w:styleId="Heading5">
    <w:name w:val="heading 5"/>
    <w:basedOn w:val="normal0"/>
    <w:next w:val="normal0"/>
    <w:rsid w:val="001A1C4D"/>
    <w:pPr>
      <w:keepNext/>
      <w:keepLines/>
      <w:spacing w:before="220" w:after="40"/>
      <w:outlineLvl w:val="4"/>
    </w:pPr>
    <w:rPr>
      <w:b/>
      <w:sz w:val="22"/>
      <w:szCs w:val="22"/>
    </w:rPr>
  </w:style>
  <w:style w:type="paragraph" w:styleId="Heading6">
    <w:name w:val="heading 6"/>
    <w:basedOn w:val="normal0"/>
    <w:next w:val="normal0"/>
    <w:rsid w:val="001A1C4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1C4D"/>
  </w:style>
  <w:style w:type="paragraph" w:styleId="Title">
    <w:name w:val="Title"/>
    <w:basedOn w:val="normal0"/>
    <w:next w:val="normal0"/>
    <w:rsid w:val="001A1C4D"/>
    <w:pPr>
      <w:keepNext/>
      <w:keepLines/>
      <w:spacing w:before="480" w:after="120"/>
    </w:pPr>
    <w:rPr>
      <w:b/>
      <w:sz w:val="72"/>
      <w:szCs w:val="72"/>
    </w:rPr>
  </w:style>
  <w:style w:type="paragraph" w:styleId="Header">
    <w:name w:val="header"/>
    <w:basedOn w:val="Normal"/>
    <w:rsid w:val="00EB7469"/>
    <w:pPr>
      <w:tabs>
        <w:tab w:val="center" w:pos="4252"/>
        <w:tab w:val="right" w:pos="8504"/>
      </w:tabs>
    </w:pPr>
  </w:style>
  <w:style w:type="paragraph" w:styleId="Footer">
    <w:name w:val="footer"/>
    <w:basedOn w:val="Normal"/>
    <w:rsid w:val="00EB7469"/>
    <w:pPr>
      <w:tabs>
        <w:tab w:val="center" w:pos="4252"/>
        <w:tab w:val="right" w:pos="8504"/>
      </w:tabs>
    </w:pPr>
  </w:style>
  <w:style w:type="paragraph" w:styleId="NormalWeb">
    <w:name w:val="Normal (Web)"/>
    <w:basedOn w:val="Normal"/>
    <w:uiPriority w:val="99"/>
    <w:unhideWhenUsed/>
    <w:rsid w:val="003F1065"/>
    <w:pPr>
      <w:suppressAutoHyphens w:val="0"/>
      <w:spacing w:before="100" w:beforeAutospacing="1" w:after="100" w:afterAutospacing="1" w:line="240" w:lineRule="auto"/>
      <w:ind w:firstLine="0"/>
      <w:jc w:val="left"/>
    </w:pPr>
    <w:rPr>
      <w:lang w:eastAsia="es-AR"/>
    </w:rPr>
  </w:style>
  <w:style w:type="paragraph" w:customStyle="1" w:styleId="Default">
    <w:name w:val="Default"/>
    <w:rsid w:val="003F1065"/>
    <w:pPr>
      <w:autoSpaceDE w:val="0"/>
      <w:autoSpaceDN w:val="0"/>
      <w:adjustRightInd w:val="0"/>
    </w:pPr>
    <w:rPr>
      <w:color w:val="000000"/>
    </w:rPr>
  </w:style>
  <w:style w:type="paragraph" w:customStyle="1" w:styleId="ESCUDO">
    <w:name w:val="ESCUDO"/>
    <w:basedOn w:val="Header"/>
    <w:rsid w:val="003F1065"/>
    <w:pPr>
      <w:tabs>
        <w:tab w:val="clear" w:pos="4252"/>
        <w:tab w:val="clear" w:pos="8504"/>
      </w:tabs>
      <w:jc w:val="center"/>
    </w:pPr>
    <w:rPr>
      <w:sz w:val="28"/>
    </w:rPr>
  </w:style>
  <w:style w:type="paragraph" w:customStyle="1" w:styleId="PJN">
    <w:name w:val="PJN"/>
    <w:basedOn w:val="Header"/>
    <w:rsid w:val="003F1065"/>
    <w:pPr>
      <w:tabs>
        <w:tab w:val="clear" w:pos="4252"/>
        <w:tab w:val="clear" w:pos="8504"/>
      </w:tabs>
      <w:spacing w:after="60"/>
      <w:jc w:val="center"/>
    </w:pPr>
    <w:rPr>
      <w:sz w:val="28"/>
      <w:szCs w:val="32"/>
      <w:lang w:val="es-MX"/>
    </w:rPr>
  </w:style>
  <w:style w:type="paragraph" w:styleId="FootnoteText">
    <w:name w:val="footnote text"/>
    <w:basedOn w:val="Normal"/>
    <w:link w:val="FootnoteTextChar"/>
    <w:semiHidden/>
    <w:unhideWhenUsed/>
    <w:rsid w:val="003F1065"/>
    <w:pPr>
      <w:spacing w:line="240" w:lineRule="auto"/>
    </w:pPr>
    <w:rPr>
      <w:sz w:val="20"/>
      <w:szCs w:val="20"/>
    </w:rPr>
  </w:style>
  <w:style w:type="character" w:customStyle="1" w:styleId="FootnoteTextChar">
    <w:name w:val="Footnote Text Char"/>
    <w:basedOn w:val="DefaultParagraphFont"/>
    <w:link w:val="FootnoteText"/>
    <w:semiHidden/>
    <w:rsid w:val="003F1065"/>
    <w:rPr>
      <w:lang w:val="es-AR" w:eastAsia="ar-SA"/>
    </w:rPr>
  </w:style>
  <w:style w:type="character" w:styleId="FootnoteReference">
    <w:name w:val="footnote reference"/>
    <w:basedOn w:val="DefaultParagraphFont"/>
    <w:semiHidden/>
    <w:unhideWhenUsed/>
    <w:rsid w:val="003F1065"/>
    <w:rPr>
      <w:vertAlign w:val="superscript"/>
    </w:rPr>
  </w:style>
  <w:style w:type="paragraph" w:styleId="ListParagraph">
    <w:name w:val="List Paragraph"/>
    <w:basedOn w:val="Normal"/>
    <w:uiPriority w:val="34"/>
    <w:qFormat/>
    <w:rsid w:val="0081366E"/>
    <w:pPr>
      <w:suppressAutoHyphens w:val="0"/>
      <w:spacing w:line="240" w:lineRule="auto"/>
      <w:ind w:left="720" w:firstLine="0"/>
      <w:contextualSpacing/>
      <w:jc w:val="left"/>
    </w:pPr>
    <w:rPr>
      <w:lang w:val="es-ES" w:eastAsia="es-ES"/>
    </w:rPr>
  </w:style>
  <w:style w:type="paragraph" w:styleId="Subtitle">
    <w:name w:val="Subtitle"/>
    <w:basedOn w:val="Normal"/>
    <w:next w:val="Normal"/>
    <w:rsid w:val="001A1C4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81E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E07"/>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z5opzXjxY9etHDVbLYIvPw/7aw==">AMUW2mXfDcE2StsqyE+9GKHEabU0g0Q39HfM/MXO9oMqtuf1/pfsbvuXhdtUmLXnu4BjaCod5Px4pttDIBufcH/y8sk0/g8EYNwl/lKuL/qOk3Mxpfd0i7GAwBp2V8DLT/7ZWP1uH0zq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Poder Judicial de la Nación</dc:creator>
  <cp:lastModifiedBy>Azure</cp:lastModifiedBy>
  <cp:revision>5</cp:revision>
  <dcterms:created xsi:type="dcterms:W3CDTF">2021-01-04T12:03:00Z</dcterms:created>
  <dcterms:modified xsi:type="dcterms:W3CDTF">2021-04-21T23:33:00Z</dcterms:modified>
</cp:coreProperties>
</file>