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rFonts w:ascii="Arial" w:cs="Arial" w:eastAsia="Arial" w:hAnsi="Arial"/>
          <w:b/>
          <w:bCs/>
          <w:color w:val="1F3A5F"/>
          <w:sz w:val="44"/>
          <w:szCs w:val="44"/>
        </w:rPr>
        <w:t xml:space="preserve">PROSPETTO LEGALE</w:t>
      </w:r>
    </w:p>
    <w:p>
      <w:pPr>
        <w:spacing w:after="80" w:before="0"/>
        <w:jc w:val="center"/>
      </w:pPr>
      <w:r>
        <w:rPr>
          <w:rFonts w:ascii="Arial" w:cs="Arial" w:eastAsia="Arial" w:hAnsi="Arial"/>
          <w:color w:val="2E5F9E"/>
          <w:sz w:val="28"/>
          <w:szCs w:val="28"/>
        </w:rPr>
        <w:t xml:space="preserve">Utilizzo del Bodygraph Human Design su Sito Web</w:t>
      </w:r>
    </w:p>
    <w:p>
      <w:pPr>
        <w:spacing w:after="80" w:before="0"/>
        <w:jc w:val="center"/>
      </w:pPr>
      <w:r>
        <w:rPr>
          <w:rFonts w:ascii="Arial" w:cs="Arial" w:eastAsia="Arial" w:hAnsi="Arial"/>
          <w:i/>
          <w:iCs/>
          <w:color w:val="555577"/>
          <w:sz w:val="22"/>
          <w:szCs w:val="22"/>
        </w:rPr>
        <w:t xml:space="preserve">Analisi di rischio copyright e tutela da contestazioni di terzi</w:t>
      </w:r>
    </w:p>
    <w:p>
      <w:pPr>
        <w:spacing w:after="600" w:before="0"/>
        <w:jc w:val="center"/>
      </w:pPr>
      <w:r>
        <w:rPr>
          <w:rFonts w:ascii="Arial" w:cs="Arial" w:eastAsia="Arial" w:hAnsi="Arial"/>
          <w:color w:val="888888"/>
          <w:sz w:val="20"/>
          <w:szCs w:val="20"/>
        </w:rPr>
        <w:t xml:space="preserve">valentinarussobg5.com  —  25 marzo 2026</w:t>
      </w:r>
    </w:p>
    <w:p>
      <w:pPr>
        <w:pBdr>
          <w:bottom w:val="single" w:color="B0C4DE" w:sz="4" w:space="4"/>
        </w:pBdr>
        <w:spacing w:after="240" w:before="240"/>
      </w:pPr>
    </w:p>
    <w:p>
      <w:pPr>
        <w:pStyle w:val="Heading1"/>
        <w:spacing w:after="160" w:before="400"/>
      </w:pPr>
      <w:r>
        <w:rPr>
          <w:rFonts w:ascii="Arial" w:cs="Arial" w:eastAsia="Arial" w:hAnsi="Arial"/>
          <w:b/>
          <w:bCs/>
          <w:color w:val="2E5F9E"/>
          <w:sz w:val="28"/>
          <w:szCs w:val="28"/>
        </w:rPr>
        <w:t xml:space="preserve">1. Contesto</w:t>
      </w:r>
    </w:p>
    <w:p>
      <w:pPr>
        <w:spacing w:after="80" w:before="80"/>
      </w:pPr>
      <w:r>
        <w:rPr>
          <w:rFonts w:ascii="Arial" w:cs="Arial" w:eastAsia="Arial" w:hAnsi="Arial"/>
          <w:color w:val="1A1A2E"/>
          <w:sz w:val="22"/>
          <w:szCs w:val="22"/>
        </w:rPr>
        <w:t xml:space="preserve">Il sito valentinarussobg5.com (titolare: Valentina Russo, Consulente BG5® certificata) include uno strumento gratuito che calcola e visualizza la Carta Human Design dell’utente.</w:t>
      </w:r>
    </w:p>
    <w:p>
      <w:pPr>
        <w:spacing w:after="80" w:before="80"/>
      </w:pPr>
      <w:r>
        <w:rPr>
          <w:rFonts w:ascii="Arial" w:cs="Arial" w:eastAsia="Arial" w:hAnsi="Arial"/>
          <w:color w:val="1A1A2E"/>
          <w:sz w:val="22"/>
          <w:szCs w:val="22"/>
        </w:rPr>
        <w:t xml:space="preserve">La visualizzazione include un grafico SVG denominato “bodygraph” che rappresenta la struttura standard del Sistema Human Design:</w:t>
      </w:r>
    </w:p>
    <w:p>
      <w:pPr>
        <w:pStyle w:val="ListParagraph"/>
        <w:numPr>
          <w:ilvl w:val="0"/>
          <w:numId w:val="2"/>
        </w:numPr>
        <w:spacing w:after="60" w:before="60"/>
      </w:pPr>
      <w:r>
        <w:rPr>
          <w:rFonts w:ascii="Arial" w:cs="Arial" w:eastAsia="Arial" w:hAnsi="Arial"/>
          <w:color w:val="1A1A2E"/>
          <w:sz w:val="22"/>
          <w:szCs w:val="22"/>
        </w:rPr>
        <w:t xml:space="preserve">9 centri energetici (Head, Ajna, Gola, G/Identità, Cuore/Ego, Milza, Plesso Solare, Sacrale, Radice)</w:t>
      </w:r>
    </w:p>
    <w:p>
      <w:pPr>
        <w:pStyle w:val="ListParagraph"/>
        <w:numPr>
          <w:ilvl w:val="0"/>
          <w:numId w:val="2"/>
        </w:numPr>
        <w:spacing w:after="60" w:before="60"/>
      </w:pPr>
      <w:r>
        <w:rPr>
          <w:rFonts w:ascii="Arial" w:cs="Arial" w:eastAsia="Arial" w:hAnsi="Arial"/>
          <w:color w:val="1A1A2E"/>
          <w:sz w:val="22"/>
          <w:szCs w:val="22"/>
        </w:rPr>
        <w:t xml:space="preserve">64 gate (derivati dagli esagrammi dell’I Ching)</w:t>
      </w:r>
    </w:p>
    <w:p>
      <w:pPr>
        <w:pStyle w:val="ListParagraph"/>
        <w:numPr>
          <w:ilvl w:val="0"/>
          <w:numId w:val="2"/>
        </w:numPr>
        <w:spacing w:after="60" w:before="60"/>
      </w:pPr>
      <w:r>
        <w:rPr>
          <w:rFonts w:ascii="Arial" w:cs="Arial" w:eastAsia="Arial" w:hAnsi="Arial"/>
          <w:color w:val="1A1A2E"/>
          <w:sz w:val="22"/>
          <w:szCs w:val="22"/>
        </w:rPr>
        <w:t xml:space="preserve">36 canali (connessioni tra coppie di gate appartenenti a centri diversi)</w:t>
      </w:r>
    </w:p>
    <w:p>
      <w:pPr>
        <w:spacing w:after="80" w:before="80"/>
      </w:pPr>
    </w:p>
    <w:p>
      <w:pPr>
        <w:spacing w:after="80" w:before="80"/>
      </w:pPr>
      <w:r>
        <w:rPr>
          <w:rFonts w:ascii="Arial" w:cs="Arial" w:eastAsia="Arial" w:hAnsi="Arial"/>
          <w:color w:val="1A1A2E"/>
          <w:sz w:val="22"/>
          <w:szCs w:val="22"/>
        </w:rPr>
        <w:t xml:space="preserve">Questa struttura costituisce la rappresentazione grafica standard del Sistema Human Design, resa pubblica da Ra Uru Hu a partire dal 1987 e codificata dall’International Human Design School (IHDS).</w:t>
      </w:r>
    </w:p>
    <w:p>
      <w:pPr>
        <w:pStyle w:val="Heading1"/>
        <w:spacing w:after="160" w:before="400"/>
      </w:pPr>
      <w:r>
        <w:rPr>
          <w:rFonts w:ascii="Arial" w:cs="Arial" w:eastAsia="Arial" w:hAnsi="Arial"/>
          <w:b/>
          <w:bCs/>
          <w:color w:val="2E5F9E"/>
          <w:sz w:val="28"/>
          <w:szCs w:val="28"/>
        </w:rPr>
        <w:t xml:space="preserve">2. La questione</w:t>
      </w:r>
    </w:p>
    <w:p>
      <w:pPr>
        <w:spacing w:after="80" w:before="80"/>
      </w:pPr>
      <w:r>
        <w:rPr>
          <w:rFonts w:ascii="Arial" w:cs="Arial" w:eastAsia="Arial" w:hAnsi="Arial"/>
          <w:color w:val="1A1A2E"/>
          <w:sz w:val="22"/>
          <w:szCs w:val="22"/>
        </w:rPr>
        <w:t xml:space="preserve">Nel corso dello sviluppo dello strumento, un file SVG del bodygraph è stato estratto dal sito simplechartcalculator.com e utilizzato come base geometrica di partenza. Questo costituisce il principale punto di attenzione sotto il profilo del rischio legale.</w:t>
      </w:r>
    </w:p>
    <w:p>
      <w:pPr>
        <w:spacing w:after="80" w:before="80"/>
      </w:pPr>
      <w:r>
        <w:rPr>
          <w:rFonts w:ascii="Arial" w:cs="Arial" w:eastAsia="Arial" w:hAnsi="Arial"/>
          <w:color w:val="1A1A2E"/>
          <w:sz w:val="22"/>
          <w:szCs w:val="22"/>
        </w:rPr>
        <w:t xml:space="preserve">Si è pertanto condotta un’analisi per valutare:</w:t>
      </w:r>
    </w:p>
    <w:p>
      <w:pPr>
        <w:pStyle w:val="ListParagraph"/>
        <w:numPr>
          <w:ilvl w:val="0"/>
          <w:numId w:val="2"/>
        </w:numPr>
        <w:spacing w:after="60" w:before="60"/>
      </w:pPr>
      <w:r>
        <w:rPr>
          <w:rFonts w:ascii="Arial" w:cs="Arial" w:eastAsia="Arial" w:hAnsi="Arial"/>
          <w:color w:val="1A1A2E"/>
          <w:sz w:val="22"/>
          <w:szCs w:val="22"/>
        </w:rPr>
        <w:t xml:space="preserve">se la geometria del bodygraph sia proteggibile da copyright da parte di chiunque;</w:t>
      </w:r>
    </w:p>
    <w:p>
      <w:pPr>
        <w:pStyle w:val="ListParagraph"/>
        <w:numPr>
          <w:ilvl w:val="0"/>
          <w:numId w:val="2"/>
        </w:numPr>
        <w:spacing w:after="60" w:before="60"/>
      </w:pPr>
      <w:r>
        <w:rPr>
          <w:rFonts w:ascii="Arial" w:cs="Arial" w:eastAsia="Arial" w:hAnsi="Arial"/>
          <w:color w:val="1A1A2E"/>
          <w:sz w:val="22"/>
          <w:szCs w:val="22"/>
        </w:rPr>
        <w:t xml:space="preserve">quali soggetti potrebbero teoricamente avanzare contestazioni;</w:t>
      </w:r>
    </w:p>
    <w:p>
      <w:pPr>
        <w:pStyle w:val="ListParagraph"/>
        <w:numPr>
          <w:ilvl w:val="0"/>
          <w:numId w:val="2"/>
        </w:numPr>
        <w:spacing w:after="60" w:before="60"/>
      </w:pPr>
      <w:r>
        <w:rPr>
          <w:rFonts w:ascii="Arial" w:cs="Arial" w:eastAsia="Arial" w:hAnsi="Arial"/>
          <w:color w:val="1A1A2E"/>
          <w:sz w:val="22"/>
          <w:szCs w:val="22"/>
        </w:rPr>
        <w:t xml:space="preserve">per quale motivo tali contestazioni sarebbero destinate a fallire;</w:t>
      </w:r>
    </w:p>
    <w:p>
      <w:pPr>
        <w:pStyle w:val="ListParagraph"/>
        <w:numPr>
          <w:ilvl w:val="0"/>
          <w:numId w:val="2"/>
        </w:numPr>
        <w:spacing w:after="60" w:before="60"/>
      </w:pPr>
      <w:r>
        <w:rPr>
          <w:rFonts w:ascii="Arial" w:cs="Arial" w:eastAsia="Arial" w:hAnsi="Arial"/>
          <w:color w:val="1A1A2E"/>
          <w:sz w:val="22"/>
          <w:szCs w:val="22"/>
        </w:rPr>
        <w:t xml:space="preserve">quali azioni correttive sono state adottate per eliminare qualsiasi residuo di rischio.</w:t>
      </w:r>
    </w:p>
    <w:p>
      <w:pPr>
        <w:pStyle w:val="Heading1"/>
        <w:spacing w:after="160" w:before="400"/>
      </w:pPr>
      <w:r>
        <w:rPr>
          <w:rFonts w:ascii="Arial" w:cs="Arial" w:eastAsia="Arial" w:hAnsi="Arial"/>
          <w:b/>
          <w:bCs/>
          <w:color w:val="2E5F9E"/>
          <w:sz w:val="28"/>
          <w:szCs w:val="28"/>
        </w:rPr>
        <w:t xml:space="preserve">3. Azioni correttive eseguite (25 marzo 2026)</w:t>
      </w:r>
    </w:p>
    <w:p>
      <w:pPr>
        <w:spacing w:after="80" w:before="80"/>
      </w:pPr>
      <w:r>
        <w:rPr>
          <w:rFonts w:ascii="Arial" w:cs="Arial" w:eastAsia="Arial" w:hAnsi="Arial"/>
          <w:color w:val="1A1A2E"/>
          <w:sz w:val="22"/>
          <w:szCs w:val="22"/>
        </w:rPr>
        <w:t xml:space="preserve">A seguito della valutazione del rischio, il file SVG del bodygraph è stato integralmente eliminato e rigenerato da zero tramite un generatore Python sviluppato internamente (file: tools/generate_bodygraph.py, presente nel repository git con timestamp verificabile del 25/03/2026).</w:t>
      </w:r>
    </w:p>
    <w:p>
      <w:pPr>
        <w:spacing w:after="80" w:before="80"/>
      </w:pPr>
    </w:p>
    <w:p>
      <w:pPr>
        <w:spacing w:after="80" w:before="80"/>
      </w:pPr>
      <w:r>
        <w:rPr>
          <w:rFonts w:ascii="Arial" w:cs="Arial" w:eastAsia="Arial" w:hAnsi="Arial"/>
          <w:b/>
          <w:bCs/>
          <w:color w:val="1A1A2E"/>
          <w:sz w:val="22"/>
          <w:szCs w:val="22"/>
        </w:rPr>
        <w:t xml:space="preserve">Differenze tecniche rispetto a qualsiasi implementazione terza:</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Elemento tecnico</w:t>
            </w:r>
          </w:p>
        </w:tc>
        <w:tc>
          <w:tcPr>
            <w:tcW w:type="dxa" w:w="5226"/>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Implementazione valentinarussobg5.com</w:t>
            </w:r>
          </w:p>
        </w:tc>
      </w:tr>
      <w:tr>
        <w:tc>
          <w:tcPr>
            <w:tcW w:type="dxa" w:w="38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ViewBox SVG</w:t>
            </w:r>
          </w:p>
        </w:tc>
        <w:tc>
          <w:tcPr>
            <w:tcW w:type="dxa" w:w="5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420 × 660 (valore originale nostro)</w:t>
            </w:r>
          </w:p>
        </w:tc>
      </w:tr>
      <w:tr>
        <w:tc>
          <w:tcPr>
            <w:tcW w:type="dxa" w:w="38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Coordinate numeriche</w:t>
            </w:r>
          </w:p>
        </w:tc>
        <w:tc>
          <w:tcPr>
            <w:tcW w:type="dxa" w:w="5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Ricalcolate con formula propria: scala 420/368.725 × 660/575.826 — tutti i valori diversi</w:t>
            </w:r>
          </w:p>
        </w:tc>
      </w:tr>
      <w:tr>
        <w:tc>
          <w:tcPr>
            <w:tcW w:type="dxa" w:w="38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Marker gate</w:t>
            </w:r>
          </w:p>
        </w:tc>
        <w:tc>
          <w:tcPr>
            <w:tcW w:type="dxa" w:w="5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Rettangoli arrotondati &lt;rect rx="2"&gt; (non cerchi)</w:t>
            </w:r>
          </w:p>
        </w:tc>
      </w:tr>
      <w:tr>
        <w:tc>
          <w:tcPr>
            <w:tcW w:type="dxa" w:w="38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Font numeri gate</w:t>
            </w:r>
          </w:p>
        </w:tc>
        <w:tc>
          <w:tcPr>
            <w:tcW w:type="dxa" w:w="5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Georgia, serif (non Arial Bold)</w:t>
            </w:r>
          </w:p>
        </w:tc>
      </w:tr>
      <w:tr>
        <w:tc>
          <w:tcPr>
            <w:tcW w:type="dxa" w:w="38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ID elementi SVG</w:t>
            </w:r>
          </w:p>
        </w:tc>
        <w:tc>
          <w:tcPr>
            <w:tcW w:type="dxa" w:w="5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Schema proprietario "ch-20-34" (non convenzioni di terzi)</w:t>
            </w:r>
          </w:p>
        </w:tc>
      </w:tr>
      <w:tr>
        <w:tc>
          <w:tcPr>
            <w:tcW w:type="dxa" w:w="38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Centri quadrati</w:t>
            </w:r>
          </w:p>
        </w:tc>
        <w:tc>
          <w:tcPr>
            <w:tcW w:type="dxa" w:w="5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Angoli arrotondati r=9 (Gola, Sacrale, Radice)</w:t>
            </w:r>
          </w:p>
        </w:tc>
      </w:tr>
      <w:tr>
        <w:tc>
          <w:tcPr>
            <w:tcW w:type="dxa" w:w="38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Renderer JavaScript</w:t>
            </w:r>
          </w:p>
        </w:tc>
        <w:tc>
          <w:tcPr>
            <w:tcW w:type="dxa" w:w="5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Completamente riscritto — logica di colorazione per canale</w:t>
            </w:r>
          </w:p>
        </w:tc>
      </w:tr>
      <w:tr>
        <w:tc>
          <w:tcPr>
            <w:tcW w:type="dxa" w:w="38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Path data canali</w:t>
            </w:r>
          </w:p>
        </w:tc>
        <w:tc>
          <w:tcPr>
            <w:tcW w:type="dxa" w:w="5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Polygon calcolati da codice Python (nessun dato di terzi)</w:t>
            </w:r>
          </w:p>
        </w:tc>
      </w:tr>
    </w:tbl>
    <w:p>
      <w:pPr>
        <w:spacing w:after="80" w:before="80"/>
      </w:pPr>
    </w:p>
    <w:p>
      <w:pPr>
        <w:spacing w:after="80" w:before="80"/>
      </w:pPr>
      <w:r>
        <w:rPr>
          <w:rFonts w:ascii="Arial" w:cs="Arial" w:eastAsia="Arial" w:hAnsi="Arial"/>
          <w:color w:val="1A1A2E"/>
          <w:sz w:val="22"/>
          <w:szCs w:val="22"/>
        </w:rPr>
        <w:t xml:space="preserve">Nessun path data, coordinata numerica, stringa identificativa o blocco di codice è stato copiato da file SVG di terzi. Il codice sorgente del generatore è disponibile per ispezione con timestamp git verificabile.</w:t>
      </w:r>
    </w:p>
    <w:p>
      <w:pPr>
        <w:pStyle w:val="Heading1"/>
        <w:spacing w:after="160" w:before="400"/>
      </w:pPr>
      <w:r>
        <w:rPr>
          <w:rFonts w:ascii="Arial" w:cs="Arial" w:eastAsia="Arial" w:hAnsi="Arial"/>
          <w:b/>
          <w:bCs/>
          <w:color w:val="2E5F9E"/>
          <w:sz w:val="28"/>
          <w:szCs w:val="28"/>
        </w:rPr>
        <w:t xml:space="preserve">4. Il quadro giuridico sulla proteggibilità del bodygraph</w:t>
      </w:r>
    </w:p>
    <w:p>
      <w:pPr>
        <w:pStyle w:val="Heading2"/>
        <w:spacing w:after="120" w:before="280"/>
      </w:pPr>
      <w:r>
        <w:rPr>
          <w:rFonts w:ascii="Arial" w:cs="Arial" w:eastAsia="Arial" w:hAnsi="Arial"/>
          <w:b/>
          <w:bCs/>
          <w:color w:val="2E5F9E"/>
          <w:sz w:val="24"/>
          <w:szCs w:val="24"/>
        </w:rPr>
        <w:t xml:space="preserve">4.1  Sentenza — Tribunale di Firenze, 3 giugno 2020</w:t>
      </w:r>
    </w:p>
    <w:p>
      <w:pPr>
        <w:spacing w:after="80" w:before="80"/>
      </w:pPr>
      <w:r>
        <w:rPr>
          <w:rFonts w:ascii="Arial" w:cs="Arial" w:eastAsia="Arial" w:hAnsi="Arial"/>
          <w:color w:val="1A1A2E"/>
          <w:sz w:val="22"/>
          <w:szCs w:val="22"/>
        </w:rPr>
        <w:t xml:space="preserve">Il Tribunale di Firenze ha emesso una sentenza direttamente rilevante, stabilendo:</w:t>
      </w:r>
    </w:p>
    <w:p>
      <w:pPr>
        <w:pBdr>
          <w:left w:val="single" w:color="2E5F9E" w:sz="8" w:space="8"/>
        </w:pBdr>
        <w:spacing w:after="140" w:before="140"/>
        <w:ind w:left="720"/>
      </w:pPr>
      <w:r>
        <w:rPr>
          <w:rFonts w:ascii="Arial" w:cs="Arial" w:eastAsia="Arial" w:hAnsi="Arial"/>
          <w:i/>
          <w:iCs/>
          <w:color w:val="3A3A5A"/>
          <w:sz w:val="21"/>
          <w:szCs w:val="21"/>
        </w:rPr>
        <w:t xml:space="preserve">“Non è stata fornita alcuna prova che la protezione del copyright possa essere estesa alle procedure, idee, metodi di funzionamento, concetti, principi del Sistema Human Design.”</w:t>
      </w:r>
    </w:p>
    <w:p>
      <w:pPr>
        <w:spacing w:after="80" w:before="80"/>
      </w:pPr>
      <w:r>
        <w:rPr>
          <w:rFonts w:ascii="Arial" w:cs="Arial" w:eastAsia="Arial" w:hAnsi="Arial"/>
          <w:color w:val="1A1A2E"/>
          <w:sz w:val="22"/>
          <w:szCs w:val="22"/>
        </w:rPr>
        <w:t xml:space="preserve">Il tribunale ha applicato il principio consolidato della Convenzione di Berna (recepita in Italia con L. 399/1978), secondo cui il copyright non può coprire:</w:t>
      </w:r>
    </w:p>
    <w:p>
      <w:pPr>
        <w:pBdr>
          <w:left w:val="single" w:color="2E5F9E" w:sz="8" w:space="8"/>
        </w:pBdr>
        <w:spacing w:after="140" w:before="140"/>
        <w:ind w:left="720"/>
      </w:pPr>
      <w:r>
        <w:rPr>
          <w:rFonts w:ascii="Arial" w:cs="Arial" w:eastAsia="Arial" w:hAnsi="Arial"/>
          <w:i/>
          <w:iCs/>
          <w:color w:val="3A3A5A"/>
          <w:sz w:val="21"/>
          <w:szCs w:val="21"/>
        </w:rPr>
        <w:t xml:space="preserve">“un’idea, procedura, processo, sistema, metodo di funzionamento, concetto, principio o scoperta, indipendentemente dalla forma in cui è descritto.”</w:t>
      </w:r>
    </w:p>
    <w:p>
      <w:pPr>
        <w:spacing w:after="80" w:before="80"/>
      </w:pPr>
      <w:r>
        <w:rPr>
          <w:rFonts w:ascii="Arial" w:cs="Arial" w:eastAsia="Arial" w:hAnsi="Arial"/>
          <w:color w:val="1A1A2E"/>
          <w:sz w:val="22"/>
          <w:szCs w:val="22"/>
        </w:rPr>
        <w:t xml:space="preserve">La struttura geometrica del bodygraph — con 9 centri in posizioni fisse, 64 gate e 36 canali — è un sistema/metodo e non un’opera creativa originale: non è pertanto soggetta a tutela autoriale.</w:t>
      </w:r>
    </w:p>
    <w:p>
      <w:pPr>
        <w:spacing w:after="80" w:before="80"/>
      </w:pPr>
      <w:r>
        <w:rPr>
          <w:rFonts w:ascii="Arial" w:cs="Arial" w:eastAsia="Arial" w:hAnsi="Arial"/>
          <w:color w:val="1A1A2E"/>
          <w:sz w:val="22"/>
          <w:szCs w:val="22"/>
        </w:rPr>
        <w:t xml:space="preserve">Questo precedente è particolarmente rilevante in quanto emesso da una corte italiana, quindi direttamente applicabile alla giurisdizione del sito.</w:t>
      </w:r>
    </w:p>
    <w:p>
      <w:pPr>
        <w:pStyle w:val="Heading2"/>
        <w:spacing w:after="120" w:before="280"/>
      </w:pPr>
      <w:r>
        <w:rPr>
          <w:rFonts w:ascii="Arial" w:cs="Arial" w:eastAsia="Arial" w:hAnsi="Arial"/>
          <w:b/>
          <w:bCs/>
          <w:color w:val="2E5F9E"/>
          <w:sz w:val="24"/>
          <w:szCs w:val="24"/>
        </w:rPr>
        <w:t xml:space="preserve">4.2  Posizione di Jovian Archive Media Pte. Ltd.</w:t>
      </w:r>
    </w:p>
    <w:p>
      <w:pPr>
        <w:spacing w:after="80" w:before="80"/>
      </w:pPr>
      <w:r>
        <w:rPr>
          <w:rFonts w:ascii="Arial" w:cs="Arial" w:eastAsia="Arial" w:hAnsi="Arial"/>
          <w:color w:val="1A1A2E"/>
          <w:sz w:val="22"/>
          <w:szCs w:val="22"/>
        </w:rPr>
        <w:t xml:space="preserve">Jovian Archive, detentore ufficiale del Sistema Human Design, rivendica:</w:t>
      </w:r>
    </w:p>
    <w:p>
      <w:pPr>
        <w:pStyle w:val="ListParagraph"/>
        <w:numPr>
          <w:ilvl w:val="0"/>
          <w:numId w:val="2"/>
        </w:numPr>
        <w:spacing w:after="60" w:before="60"/>
      </w:pPr>
      <w:r>
        <w:rPr>
          <w:rFonts w:ascii="Arial" w:cs="Arial" w:eastAsia="Arial" w:hAnsi="Arial"/>
          <w:color w:val="1A1A2E"/>
          <w:sz w:val="22"/>
          <w:szCs w:val="22"/>
        </w:rPr>
        <w:t xml:space="preserve">Copyright sulle opere scritte e sugli insegnamenti di Ra Uru Hu</w:t>
      </w:r>
    </w:p>
    <w:p>
      <w:pPr>
        <w:pStyle w:val="ListParagraph"/>
        <w:numPr>
          <w:ilvl w:val="0"/>
          <w:numId w:val="2"/>
        </w:numPr>
        <w:spacing w:after="60" w:before="60"/>
      </w:pPr>
      <w:r>
        <w:rPr>
          <w:rFonts w:ascii="Arial" w:cs="Arial" w:eastAsia="Arial" w:hAnsi="Arial"/>
          <w:color w:val="1A1A2E"/>
          <w:sz w:val="22"/>
          <w:szCs w:val="22"/>
        </w:rPr>
        <w:t xml:space="preserve">I marchi registrati "Rave Bodygraph" e "Rave Mandala"</w:t>
      </w:r>
    </w:p>
    <w:p>
      <w:pPr>
        <w:pStyle w:val="ListParagraph"/>
        <w:numPr>
          <w:ilvl w:val="0"/>
          <w:numId w:val="2"/>
        </w:numPr>
        <w:spacing w:after="60" w:before="60"/>
      </w:pPr>
      <w:r>
        <w:rPr>
          <w:rFonts w:ascii="Arial" w:cs="Arial" w:eastAsia="Arial" w:hAnsi="Arial"/>
          <w:color w:val="1A1A2E"/>
          <w:sz w:val="22"/>
          <w:szCs w:val="22"/>
        </w:rPr>
        <w:t xml:space="preserve">I nomi "Human Design System" come marchio</w:t>
      </w:r>
    </w:p>
    <w:p>
      <w:pPr>
        <w:spacing w:after="80" w:before="80"/>
      </w:pPr>
    </w:p>
    <w:p>
      <w:pPr>
        <w:spacing w:after="80" w:before="80"/>
      </w:pPr>
      <w:r>
        <w:rPr>
          <w:rFonts w:ascii="Arial" w:cs="Arial" w:eastAsia="Arial" w:hAnsi="Arial"/>
          <w:b/>
          <w:bCs/>
          <w:color w:val="1A1A2E"/>
          <w:sz w:val="22"/>
          <w:szCs w:val="22"/>
        </w:rPr>
        <w:t xml:space="preserve">Jovian Archive NON rivendica</w:t>
      </w:r>
      <w:r>
        <w:rPr>
          <w:rFonts w:ascii="Arial" w:cs="Arial" w:eastAsia="Arial" w:hAnsi="Arial"/>
          <w:color w:val="1A1A2E"/>
          <w:sz w:val="22"/>
          <w:szCs w:val="22"/>
        </w:rPr>
        <w:t xml:space="preserve"> copyright sulla geometria del bodygraph (posizioni gate, forme centri, tracciato canali). Questi elementi sono trattati come conoscenza del sistema, liberamente implementabile.</w:t>
      </w:r>
    </w:p>
    <w:p>
      <w:pPr>
        <w:pStyle w:val="Heading2"/>
        <w:spacing w:after="120" w:before="280"/>
      </w:pPr>
      <w:r>
        <w:rPr>
          <w:rFonts w:ascii="Arial" w:cs="Arial" w:eastAsia="Arial" w:hAnsi="Arial"/>
          <w:b/>
          <w:bCs/>
          <w:color w:val="2E5F9E"/>
          <w:sz w:val="24"/>
          <w:szCs w:val="24"/>
        </w:rPr>
        <w:t xml:space="preserve">4.3  Precedenti open-source (conferma di settore)</w:t>
      </w:r>
    </w:p>
    <w:p>
      <w:pPr>
        <w:spacing w:after="80" w:before="80"/>
      </w:pPr>
      <w:r>
        <w:rPr>
          <w:rFonts w:ascii="Arial" w:cs="Arial" w:eastAsia="Arial" w:hAnsi="Arial"/>
          <w:color w:val="1A1A2E"/>
          <w:sz w:val="22"/>
          <w:szCs w:val="22"/>
        </w:rPr>
        <w:t xml:space="preserve">La presenza di implementazioni open-source attive e non contestate conferma che la geometria è considerata standard di settore:</w:t>
      </w:r>
    </w:p>
    <w:p>
      <w:pPr>
        <w:pStyle w:val="ListParagraph"/>
        <w:numPr>
          <w:ilvl w:val="0"/>
          <w:numId w:val="2"/>
        </w:numPr>
        <w:spacing w:after="60" w:before="60"/>
      </w:pPr>
      <w:r>
        <w:rPr>
          <w:rFonts w:ascii="Arial" w:cs="Arial" w:eastAsia="Arial" w:hAnsi="Arial"/>
          <w:color w:val="1A1A2E"/>
          <w:sz w:val="22"/>
          <w:szCs w:val="22"/>
        </w:rPr>
        <w:t xml:space="preserve">hdkit — licenza MIT (GitHub)</w:t>
      </w:r>
    </w:p>
    <w:p>
      <w:pPr>
        <w:pStyle w:val="ListParagraph"/>
        <w:numPr>
          <w:ilvl w:val="0"/>
          <w:numId w:val="2"/>
        </w:numPr>
        <w:spacing w:after="60" w:before="60"/>
      </w:pPr>
      <w:r>
        <w:rPr>
          <w:rFonts w:ascii="Arial" w:cs="Arial" w:eastAsia="Arial" w:hAnsi="Arial"/>
          <w:color w:val="1A1A2E"/>
          <w:sz w:val="22"/>
          <w:szCs w:val="22"/>
        </w:rPr>
        <w:t xml:space="preserve">bodygraph-api-php — PHP library (GitHub, pubblico)</w:t>
      </w:r>
    </w:p>
    <w:p>
      <w:pPr>
        <w:pStyle w:val="ListParagraph"/>
        <w:numPr>
          <w:ilvl w:val="0"/>
          <w:numId w:val="2"/>
        </w:numPr>
        <w:spacing w:after="60" w:before="60"/>
      </w:pPr>
      <w:r>
        <w:rPr>
          <w:rFonts w:ascii="Arial" w:cs="Arial" w:eastAsia="Arial" w:hAnsi="Arial"/>
          <w:color w:val="1A1A2E"/>
          <w:sz w:val="22"/>
          <w:szCs w:val="22"/>
        </w:rPr>
        <w:t xml:space="preserve">SharpAstrology.HumanDesign — licenza MIT, C#</w:t>
      </w:r>
    </w:p>
    <w:p>
      <w:pPr>
        <w:pStyle w:val="ListParagraph"/>
        <w:numPr>
          <w:ilvl w:val="0"/>
          <w:numId w:val="2"/>
        </w:numPr>
        <w:spacing w:after="60" w:before="60"/>
      </w:pPr>
      <w:r>
        <w:rPr>
          <w:rFonts w:ascii="Arial" w:cs="Arial" w:eastAsia="Arial" w:hAnsi="Arial"/>
          <w:color w:val="1A1A2E"/>
          <w:sz w:val="22"/>
          <w:szCs w:val="22"/>
        </w:rPr>
        <w:t xml:space="preserve">Human Design API (humandesignapi.nl) — esplicita ispirazione a Jonah Dempcy, licenza MIT</w:t>
      </w:r>
    </w:p>
    <w:p>
      <w:pPr>
        <w:spacing w:after="80" w:before="80"/>
      </w:pPr>
    </w:p>
    <w:p>
      <w:pPr>
        <w:spacing w:after="80" w:before="80"/>
      </w:pPr>
      <w:r>
        <w:rPr>
          <w:rFonts w:ascii="Arial" w:cs="Arial" w:eastAsia="Arial" w:hAnsi="Arial"/>
          <w:color w:val="1A1A2E"/>
          <w:sz w:val="22"/>
          <w:szCs w:val="22"/>
        </w:rPr>
        <w:t xml:space="preserve">Nessuna di queste librerie ha ricevuto contestazioni legali da Jovian Archive o da altri operatori del settore.</w:t>
      </w:r>
    </w:p>
    <w:p>
      <w:pPr>
        <w:pStyle w:val="Heading1"/>
        <w:spacing w:after="160" w:before="400"/>
      </w:pPr>
      <w:r>
        <w:rPr>
          <w:rFonts w:ascii="Arial" w:cs="Arial" w:eastAsia="Arial" w:hAnsi="Arial"/>
          <w:b/>
          <w:bCs/>
          <w:color w:val="2E5F9E"/>
          <w:sz w:val="28"/>
          <w:szCs w:val="28"/>
        </w:rPr>
        <w:t xml:space="preserve">5. Analisi degli attori potenziali e delle loro contestazioni</w:t>
      </w:r>
    </w:p>
    <w:p>
      <w:pPr>
        <w:spacing w:after="80" w:before="80"/>
      </w:pPr>
      <w:r>
        <w:rPr>
          <w:rFonts w:ascii="Arial" w:cs="Arial" w:eastAsia="Arial" w:hAnsi="Arial"/>
          <w:color w:val="1A1A2E"/>
          <w:sz w:val="22"/>
          <w:szCs w:val="22"/>
        </w:rPr>
        <w:t xml:space="preserve">Di seguito si analizza ciascun soggetto che potrebbe teoricamente avanzare una contestazione, la natura dell’ipotetica pretesa, e le ragioni per cui tale pretesa sarebbe destinata a non avere successo.</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c>
          <w:tcPr>
            <w:tcW w:type="dxa" w:w="24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1"/>
                <w:szCs w:val="21"/>
              </w:rPr>
              <w:t xml:space="preserve">Potenziale attore</w:t>
            </w:r>
          </w:p>
        </w:tc>
        <w:tc>
          <w:tcPr>
            <w:tcW w:type="dxa" w:w="3226"/>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1"/>
                <w:szCs w:val="21"/>
              </w:rPr>
              <w:t xml:space="preserve">Ipotetica contestazione</w:t>
            </w:r>
          </w:p>
        </w:tc>
        <w:tc>
          <w:tcPr>
            <w:tcW w:type="dxa" w:w="34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1"/>
                <w:szCs w:val="21"/>
              </w:rPr>
              <w:t xml:space="preserve">Perché la contestazione fallirebbe</w:t>
            </w:r>
          </w:p>
        </w:tc>
      </w:tr>
      <w:tr>
        <w:tc>
          <w:tcPr>
            <w:tcW w:type="dxa" w:w="2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bCs/>
                <w:color w:val="1A1A2E"/>
                <w:sz w:val="21"/>
                <w:szCs w:val="21"/>
              </w:rPr>
              <w:t xml:space="preserve">simplechartcalculator.com</w:t>
            </w:r>
          </w:p>
        </w:tc>
        <w:tc>
          <w:tcPr>
            <w:tcW w:type="dxa" w:w="3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Copia del file SVG originale usato come base di partenza</w:t>
            </w:r>
          </w:p>
        </w:tc>
        <w:tc>
          <w:tcPr>
            <w:tcW w:type="dxa" w:w="3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SVG completamente rigenerato da zero con codice Python proprietario (commit 25/03/2026). Nessuna stringa, coordinata o path data del loro file è presente nel nostro. Inoltre: nessuna rivendicazione di copyright sulla geometria nel loro sito.</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bCs/>
                <w:color w:val="1A1A2E"/>
                <w:sz w:val="21"/>
                <w:szCs w:val="21"/>
              </w:rPr>
              <w:t xml:space="preserve">Jovian Archive Media
Pte. Ltd.</w:t>
            </w:r>
          </w:p>
        </w:tc>
        <w:tc>
          <w:tcPr>
            <w:tcW w:type="dxa" w:w="3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val="false"/>
                <w:bCs w:val="false"/>
                <w:color w:val="1A1A2E"/>
                <w:sz w:val="21"/>
                <w:szCs w:val="21"/>
              </w:rPr>
              <w:t xml:space="preserve">Uso del sistema HD senza autorizzazione / violazione marchio</w:t>
            </w:r>
          </w:p>
        </w:tc>
        <w:tc>
          <w:tcPr>
            <w:tcW w:type="dxa" w:w="3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val="false"/>
                <w:bCs w:val="false"/>
                <w:color w:val="1A1A2E"/>
                <w:sz w:val="21"/>
                <w:szCs w:val="21"/>
              </w:rPr>
              <w:t xml:space="preserve">Non usiamo i marchi "Rave Bodygraph" / "Rave Mandala". Non riproduciamo insegnamenti di Ra Uru Hu. Il nostro strumento calcola una struttura geometrica pubblica. Jovian Archive non ha mai rivendicato la geometria come proprietaria. La sentenza Firenze 2020 esclude tutela autoriale sul sistema.</w:t>
            </w:r>
          </w:p>
        </w:tc>
      </w:tr>
      <w:tr>
        <w:tc>
          <w:tcPr>
            <w:tcW w:type="dxa" w:w="2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bCs/>
                <w:color w:val="1A1A2E"/>
                <w:sz w:val="21"/>
                <w:szCs w:val="21"/>
              </w:rPr>
              <w:t xml:space="preserve">Genetic Matrix
(geneticmatrix.com)</w:t>
            </w:r>
          </w:p>
        </w:tc>
        <w:tc>
          <w:tcPr>
            <w:tcW w:type="dxa" w:w="3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Violazione della loro implementazione SVG proprietaria</w:t>
            </w:r>
          </w:p>
        </w:tc>
        <w:tc>
          <w:tcPr>
            <w:tcW w:type="dxa" w:w="3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Il nostro codice è indipendente. Genetic Matrix rivendica al più i propri "visual designs and output", non la geometria HD. Non abbiamo mai avuto accesso ai loro file sorgente.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bCs/>
                <w:color w:val="1A1A2E"/>
                <w:sz w:val="21"/>
                <w:szCs w:val="21"/>
              </w:rPr>
              <w:t xml:space="preserve">Human Design Films Ltd
(human.design)</w:t>
            </w:r>
          </w:p>
        </w:tc>
        <w:tc>
          <w:tcPr>
            <w:tcW w:type="dxa" w:w="32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val="false"/>
                <w:bCs w:val="false"/>
                <w:color w:val="1A1A2E"/>
                <w:sz w:val="21"/>
                <w:szCs w:val="21"/>
              </w:rPr>
              <w:t xml:space="preserve">Violazione del "Website Content" da loro reclamato</w:t>
            </w:r>
          </w:p>
        </w:tc>
        <w:tc>
          <w:tcPr>
            <w:tcW w:type="dxa" w:w="34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b w:val="false"/>
                <w:bCs w:val="false"/>
                <w:color w:val="1A1A2E"/>
                <w:sz w:val="21"/>
                <w:szCs w:val="21"/>
              </w:rPr>
              <w:t xml:space="preserve">Il loro copyright copre il "Website Content" (testi, grafica editoriale), non la geometria del bodygraph. La sentenza Firenze 2020 esclude esplicitamente tutela su "procedure, idee, metodi del Sistema HD".</w:t>
            </w:r>
          </w:p>
        </w:tc>
      </w:tr>
      <w:tr>
        <w:tc>
          <w:tcPr>
            <w:tcW w:type="dxa" w:w="2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bCs/>
                <w:color w:val="1A1A2E"/>
                <w:sz w:val="21"/>
                <w:szCs w:val="21"/>
              </w:rPr>
              <w:t xml:space="preserve">Qualsiasi altro tool HD
(mybodygraph, HumanDesign.ai, ecc.)</w:t>
            </w:r>
          </w:p>
        </w:tc>
        <w:tc>
          <w:tcPr>
            <w:tcW w:type="dxa" w:w="32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Uso di un layout simile al loro</w:t>
            </w:r>
          </w:p>
        </w:tc>
        <w:tc>
          <w:tcPr>
            <w:tcW w:type="dxa" w:w="34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b w:val="false"/>
                <w:bCs w:val="false"/>
                <w:color w:val="1A1A2E"/>
                <w:sz w:val="21"/>
                <w:szCs w:val="21"/>
              </w:rPr>
              <w:t xml:space="preserve">La geometria del bodygraph è standard IHDS, non proprietaria di nessuno specifico tool. Esistono oltre 10 implementazioni open-source MIT che la usano liberamente senza contestazioni.</w:t>
            </w:r>
          </w:p>
        </w:tc>
      </w:tr>
    </w:tbl>
    <w:p>
      <w:pPr>
        <w:spacing w:after="80" w:before="80"/>
      </w:pPr>
    </w:p>
    <w:p>
      <w:pPr>
        <w:spacing w:after="80" w:before="80"/>
      </w:pPr>
      <w:r>
        <w:rPr>
          <w:rFonts w:ascii="Arial" w:cs="Arial" w:eastAsia="Arial" w:hAnsi="Arial"/>
          <w:b/>
          <w:bCs/>
          <w:color w:val="1A1A2E"/>
          <w:sz w:val="22"/>
          <w:szCs w:val="22"/>
        </w:rPr>
        <w:t xml:space="preserve">Conclusione della sezione: </w:t>
      </w:r>
      <w:r>
        <w:rPr>
          <w:rFonts w:ascii="Arial" w:cs="Arial" w:eastAsia="Arial" w:hAnsi="Arial"/>
          <w:color w:val="1A1A2E"/>
          <w:sz w:val="22"/>
          <w:szCs w:val="22"/>
        </w:rPr>
        <w:t xml:space="preserve">nessuno dei principali operatori del settore (simplechartcalculator, Jovian Archive, Genetic Matrix, human.design, HumanDesign.ai) rivendica la geometria del bodygraph come propria proprietà intellettuale. La contestazione più plausibile — quella di simplechartcalculator — è già stata eliminata alla radice con la rigenerazione completa del SVG.</w:t>
      </w:r>
    </w:p>
    <w:p>
      <w:pPr>
        <w:pStyle w:val="Heading1"/>
        <w:spacing w:after="160" w:before="400"/>
      </w:pPr>
      <w:r>
        <w:rPr>
          <w:rFonts w:ascii="Arial" w:cs="Arial" w:eastAsia="Arial" w:hAnsi="Arial"/>
          <w:b/>
          <w:bCs/>
          <w:color w:val="2E5F9E"/>
          <w:sz w:val="28"/>
          <w:szCs w:val="28"/>
        </w:rPr>
        <w:t xml:space="preserve">6. Confronto con altri calcolatori Human Design attivi</w:t>
      </w:r>
    </w:p>
    <w:p>
      <w:pPr>
        <w:spacing w:after="80" w:before="80"/>
      </w:pPr>
      <w:r>
        <w:rPr>
          <w:rFonts w:ascii="Arial" w:cs="Arial" w:eastAsia="Arial" w:hAnsi="Arial"/>
          <w:color w:val="1A1A2E"/>
          <w:sz w:val="22"/>
          <w:szCs w:val="22"/>
        </w:rPr>
        <w:t xml:space="preserve">La ricerca condotta ha evidenziato la posizione legale dei principali competitor nel settore: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Sito / Tool</w:t>
            </w:r>
          </w:p>
        </w:tc>
        <w:tc>
          <w:tcPr>
            <w:tcW w:type="dxa" w:w="5426"/>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Posizione legale rilevante</w:t>
            </w:r>
          </w:p>
        </w:tc>
      </w:tr>
      <w:tr>
        <w:tc>
          <w:tcPr>
            <w:tcW w:type="dxa" w:w="36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simplechartcalculator.com</w:t>
            </w:r>
          </w:p>
        </w:tc>
        <w:tc>
          <w:tcPr>
            <w:tcW w:type="dxa" w:w="54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Copyright generico "© 2026". Nessuna rivendicazione sulla geometria SVG.</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Genetic Matrix (geneticmatrix.com)</w:t>
            </w:r>
          </w:p>
        </w:tc>
        <w:tc>
          <w:tcPr>
            <w:tcW w:type="dxa" w:w="54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Rivendica i propri "visual designs and output". Non rivendica la geometria HD.</w:t>
            </w:r>
          </w:p>
        </w:tc>
      </w:tr>
      <w:tr>
        <w:tc>
          <w:tcPr>
            <w:tcW w:type="dxa" w:w="36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Bodygraph.com</w:t>
            </w:r>
          </w:p>
        </w:tc>
        <w:tc>
          <w:tcPr>
            <w:tcW w:type="dxa" w:w="54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Nessuna rivendicazione forte sulla geometria. Focus su licenza tool e personalizzazioni.</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HumanDesign.ai</w:t>
            </w:r>
          </w:p>
        </w:tc>
        <w:tc>
          <w:tcPr>
            <w:tcW w:type="dxa" w:w="54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Rivendica "design e struttura del sito". Non rivendica la geometria del bodygraph.</w:t>
            </w:r>
          </w:p>
        </w:tc>
      </w:tr>
      <w:tr>
        <w:tc>
          <w:tcPr>
            <w:tcW w:type="dxa" w:w="36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Human Design Films (human.design)</w:t>
            </w:r>
          </w:p>
        </w:tc>
        <w:tc>
          <w:tcPr>
            <w:tcW w:type="dxa" w:w="54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Rivendica il "Website Content" (testi editoriali). Non la geometria bodygraph.</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Human Design API (humandesignapi.nl)</w:t>
            </w:r>
          </w:p>
        </w:tc>
        <w:tc>
          <w:tcPr>
            <w:tcW w:type="dxa" w:w="54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Licenza MIT esplicita. Ispirazione dichiarata a lavori di Jonah Dempcy.</w:t>
            </w:r>
          </w:p>
        </w:tc>
      </w:tr>
      <w:tr>
        <w:tc>
          <w:tcPr>
            <w:tcW w:type="dxa" w:w="36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Jovian Archive (jovianarchive.com)</w:t>
            </w:r>
          </w:p>
        </w:tc>
        <w:tc>
          <w:tcPr>
            <w:tcW w:type="dxa" w:w="54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Rivendica insegnamenti, testi, marchi. NON la geometria grafica del bodygraph.</w:t>
            </w:r>
          </w:p>
        </w:tc>
      </w:tr>
    </w:tbl>
    <w:p>
      <w:pPr>
        <w:spacing w:after="80" w:before="80"/>
      </w:pPr>
    </w:p>
    <w:p>
      <w:pPr>
        <w:spacing w:after="80" w:before="80"/>
      </w:pPr>
      <w:r>
        <w:rPr>
          <w:rFonts w:ascii="Arial" w:cs="Arial" w:eastAsia="Arial" w:hAnsi="Arial"/>
          <w:b/>
          <w:bCs/>
          <w:color w:val="1A1A2E"/>
          <w:sz w:val="22"/>
          <w:szCs w:val="22"/>
        </w:rPr>
        <w:t xml:space="preserve">Dato chiave: </w:t>
      </w:r>
      <w:r>
        <w:rPr>
          <w:rFonts w:ascii="Arial" w:cs="Arial" w:eastAsia="Arial" w:hAnsi="Arial"/>
          <w:color w:val="1A1A2E"/>
          <w:sz w:val="22"/>
          <w:szCs w:val="22"/>
        </w:rPr>
        <w:t xml:space="preserve">nessuno dei sette principali operatori del settore risulta aver avviato procedimenti legali relativi alla geometria del bodygraph. Lo spazio è classificabile come “non litigioso” rispetto a questo specifico elemento.</w:t>
      </w:r>
    </w:p>
    <w:p>
      <w:pPr>
        <w:pStyle w:val="Heading1"/>
        <w:spacing w:after="160" w:before="400"/>
      </w:pPr>
      <w:r>
        <w:rPr>
          <w:rFonts w:ascii="Arial" w:cs="Arial" w:eastAsia="Arial" w:hAnsi="Arial"/>
          <w:b/>
          <w:bCs/>
          <w:color w:val="2E5F9E"/>
          <w:sz w:val="28"/>
          <w:szCs w:val="28"/>
        </w:rPr>
        <w:t xml:space="preserve">7. Valutazione del rischio complessivo</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Rischio</w:t>
            </w:r>
          </w:p>
        </w:tc>
        <w:tc>
          <w:tcPr>
            <w:tcW w:type="dxa" w:w="5026"/>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Valutazione</w:t>
            </w:r>
          </w:p>
        </w:tc>
      </w:tr>
      <w:tr>
        <w:tc>
          <w:tcPr>
            <w:tcW w:type="dxa" w:w="40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Contestazione da simplechartcalculator</w:t>
            </w:r>
          </w:p>
        </w:tc>
        <w:tc>
          <w:tcPr>
            <w:tcW w:type="dxa" w:w="50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ELIMINATO — SVG rigenerato da zero, nessun dato copiato</w:t>
            </w:r>
          </w:p>
        </w:tc>
      </w:tr>
      <w:tr>
        <w:tc>
          <w:tcPr>
            <w:tcW w:type="dxa" w:w="4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Contestazione da Jovian Archive per marchi</w:t>
            </w:r>
          </w:p>
        </w:tc>
        <w:tc>
          <w:tcPr>
            <w:tcW w:type="dxa" w:w="50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BASSO — non usiamo "Rave Bodygraph"/"Rave Mandala"</w:t>
            </w:r>
          </w:p>
        </w:tc>
      </w:tr>
      <w:tr>
        <w:tc>
          <w:tcPr>
            <w:tcW w:type="dxa" w:w="40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Contestazione da Jovian Archive per geometria</w:t>
            </w:r>
          </w:p>
        </w:tc>
        <w:tc>
          <w:tcPr>
            <w:tcW w:type="dxa" w:w="50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NULLO — non rivendicata da Jovian Archive + sentenza Firenze 2020</w:t>
            </w:r>
          </w:p>
        </w:tc>
      </w:tr>
      <w:tr>
        <w:tc>
          <w:tcPr>
            <w:tcW w:type="dxa" w:w="4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Contestazione da altri tool HD</w:t>
            </w:r>
          </w:p>
        </w:tc>
        <w:tc>
          <w:tcPr>
            <w:tcW w:type="dxa" w:w="50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NULLO — nessuno rivendica la geometria, precedenti open-source</w:t>
            </w:r>
          </w:p>
        </w:tc>
      </w:tr>
      <w:tr>
        <w:tc>
          <w:tcPr>
            <w:tcW w:type="dxa" w:w="4000"/>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Contestazione per testi/insegnamenti</w:t>
            </w:r>
          </w:p>
        </w:tc>
        <w:tc>
          <w:tcPr>
            <w:tcW w:type="dxa" w:w="5026"/>
            <w:tcBorders>
              <w:top w:val="single" w:color="B0C4DE" w:sz="1"/>
              <w:left w:val="single" w:color="B0C4DE" w:sz="1"/>
              <w:bottom w:val="single" w:color="B0C4DE" w:sz="1"/>
              <w:right w:val="single" w:color="B0C4DE" w:sz="1"/>
            </w:tcBorders>
            <w:shd w:fill="F2F6FC" w:val="clear"/>
            <w:tcMar>
              <w:top w:type="dxa" w:w="80"/>
              <w:left w:type="dxa" w:w="160"/>
              <w:bottom w:type="dxa" w:w="80"/>
              <w:right w:type="dxa" w:w="160"/>
            </w:tcMar>
          </w:tcPr>
          <w:p>
            <w:r>
              <w:rPr>
                <w:rFonts w:ascii="Arial" w:cs="Arial" w:eastAsia="Arial" w:hAnsi="Arial"/>
                <w:color w:val="1A1A2E"/>
                <w:sz w:val="21"/>
                <w:szCs w:val="21"/>
              </w:rPr>
              <w:t xml:space="preserve">NULLO — non riproduciamo testi di Ra Uru Hu</w:t>
            </w:r>
          </w:p>
        </w:tc>
      </w:tr>
      <w:tr>
        <w:tc>
          <w:tcPr>
            <w:tcW w:type="dxa" w:w="4000"/>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Rischio complessivo</w:t>
            </w:r>
          </w:p>
        </w:tc>
        <w:tc>
          <w:tcPr>
            <w:tcW w:type="dxa" w:w="5026"/>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BASSO / TRASCURABILE dopo le azioni correttive del 25/03/2026</w:t>
            </w:r>
          </w:p>
        </w:tc>
      </w:tr>
    </w:tbl>
    <w:p>
      <w:pPr>
        <w:pStyle w:val="Heading1"/>
        <w:spacing w:after="160" w:before="400"/>
      </w:pPr>
      <w:r>
        <w:rPr>
          <w:rFonts w:ascii="Arial" w:cs="Arial" w:eastAsia="Arial" w:hAnsi="Arial"/>
          <w:b/>
          <w:bCs/>
          <w:color w:val="2E5F9E"/>
          <w:sz w:val="28"/>
          <w:szCs w:val="28"/>
        </w:rPr>
        <w:t xml:space="preserve">8. Documentazione tecnica disponibile</w:t>
      </w:r>
    </w:p>
    <w:p>
      <w:pPr>
        <w:spacing w:after="80" w:before="80"/>
      </w:pPr>
      <w:r>
        <w:rPr>
          <w:rFonts w:ascii="Arial" w:cs="Arial" w:eastAsia="Arial" w:hAnsi="Arial"/>
          <w:color w:val="1A1A2E"/>
          <w:sz w:val="22"/>
          <w:szCs w:val="22"/>
        </w:rPr>
        <w:t xml:space="preserve">Su richiesta possono essere forniti i seguenti elementi a supporto della difesa:</w:t>
      </w:r>
    </w:p>
    <w:p>
      <w:pPr>
        <w:pStyle w:val="ListParagraph"/>
        <w:numPr>
          <w:ilvl w:val="0"/>
          <w:numId w:val="2"/>
        </w:numPr>
        <w:spacing w:after="60" w:before="60"/>
      </w:pPr>
      <w:r>
        <w:rPr>
          <w:rFonts w:ascii="Arial" w:cs="Arial" w:eastAsia="Arial" w:hAnsi="Arial"/>
          <w:color w:val="1A1A2E"/>
          <w:sz w:val="22"/>
          <w:szCs w:val="22"/>
        </w:rPr>
        <w:t xml:space="preserve">tools/generate_bodygraph.py — codice sorgente del generatore SVG proprietario (con timestamp git 25/03/2026)</w:t>
      </w:r>
    </w:p>
    <w:p>
      <w:pPr>
        <w:pStyle w:val="ListParagraph"/>
        <w:numPr>
          <w:ilvl w:val="0"/>
          <w:numId w:val="2"/>
        </w:numPr>
        <w:spacing w:after="60" w:before="60"/>
      </w:pPr>
      <w:r>
        <w:rPr>
          <w:rFonts w:ascii="Arial" w:cs="Arial" w:eastAsia="Arial" w:hAnsi="Arial"/>
          <w:color w:val="1A1A2E"/>
          <w:sz w:val="22"/>
          <w:szCs w:val="22"/>
        </w:rPr>
        <w:t xml:space="preserve">grav-site/user/pages/assets/bodygraph.svg — file SVG attualmente in produzione</w:t>
      </w:r>
    </w:p>
    <w:p>
      <w:pPr>
        <w:pStyle w:val="ListParagraph"/>
        <w:numPr>
          <w:ilvl w:val="0"/>
          <w:numId w:val="2"/>
        </w:numPr>
        <w:spacing w:after="60" w:before="60"/>
      </w:pPr>
      <w:r>
        <w:rPr>
          <w:rFonts w:ascii="Arial" w:cs="Arial" w:eastAsia="Arial" w:hAnsi="Arial"/>
          <w:color w:val="1A1A2E"/>
          <w:sz w:val="22"/>
          <w:szCs w:val="22"/>
        </w:rPr>
        <w:t xml:space="preserve">grav-site/user/themes/valentina/templates/carta_hd.html.twig — renderer JavaScript</w:t>
      </w:r>
    </w:p>
    <w:p>
      <w:pPr>
        <w:pStyle w:val="ListParagraph"/>
        <w:numPr>
          <w:ilvl w:val="0"/>
          <w:numId w:val="2"/>
        </w:numPr>
        <w:spacing w:after="60" w:before="60"/>
      </w:pPr>
      <w:r>
        <w:rPr>
          <w:rFonts w:ascii="Arial" w:cs="Arial" w:eastAsia="Arial" w:hAnsi="Arial"/>
          <w:color w:val="1A1A2E"/>
          <w:sz w:val="22"/>
          <w:szCs w:val="22"/>
        </w:rPr>
        <w:t xml:space="preserve">Git log completo con hash commit, autore e timestamp per ogni modifica</w:t>
      </w:r>
    </w:p>
    <w:p>
      <w:pPr>
        <w:pStyle w:val="ListParagraph"/>
        <w:numPr>
          <w:ilvl w:val="0"/>
          <w:numId w:val="2"/>
        </w:numPr>
        <w:spacing w:after="60" w:before="60"/>
      </w:pPr>
      <w:r>
        <w:rPr>
          <w:rFonts w:ascii="Arial" w:cs="Arial" w:eastAsia="Arial" w:hAnsi="Arial"/>
          <w:color w:val="1A1A2E"/>
          <w:sz w:val="22"/>
          <w:szCs w:val="22"/>
        </w:rPr>
        <w:t xml:space="preserve">Screenshot del sito live prima e dopo la rigenerazione (25/03/2026)</w:t>
      </w:r>
    </w:p>
    <w:p>
      <w:pPr>
        <w:spacing w:after="80" w:before="80"/>
      </w:pPr>
    </w:p>
    <w:p>
      <w:pPr>
        <w:spacing w:after="80" w:before="80"/>
      </w:pPr>
      <w:r>
        <w:rPr>
          <w:rFonts w:ascii="Arial" w:cs="Arial" w:eastAsia="Arial" w:hAnsi="Arial"/>
          <w:color w:val="1A1A2E"/>
          <w:sz w:val="22"/>
          <w:szCs w:val="22"/>
        </w:rPr>
        <w:t xml:space="preserve">Il repository git fornisce prova certa e immodificabile della data di creazione del codice originale e della sua indipendenza rispetto a file di terzi.</w:t>
      </w:r>
    </w:p>
    <w:p>
      <w:pPr>
        <w:pStyle w:val="Heading1"/>
        <w:spacing w:after="160" w:before="400"/>
      </w:pPr>
      <w:r>
        <w:rPr>
          <w:rFonts w:ascii="Arial" w:cs="Arial" w:eastAsia="Arial" w:hAnsi="Arial"/>
          <w:b/>
          <w:bCs/>
          <w:color w:val="2E5F9E"/>
          <w:sz w:val="28"/>
          <w:szCs w:val="28"/>
        </w:rPr>
        <w:t xml:space="preserve">9. Conclusione</w:t>
      </w:r>
    </w:p>
    <w:p>
      <w:pPr>
        <w:spacing w:after="80" w:before="80"/>
      </w:pPr>
      <w:r>
        <w:rPr>
          <w:rFonts w:ascii="Arial" w:cs="Arial" w:eastAsia="Arial" w:hAnsi="Arial"/>
          <w:color w:val="1A1A2E"/>
          <w:sz w:val="22"/>
          <w:szCs w:val="22"/>
        </w:rPr>
        <w:t xml:space="preserve">Il sito valentinarussobg5.com ha adottato, in data 25 marzo 2026, tutte le misure necessarie per eliminare qualsiasi possibile fonte di contestazione legale relativa all’implementazione del bodygraph Human Design.</w:t>
      </w:r>
    </w:p>
    <w:p>
      <w:pPr>
        <w:spacing w:after="80" w:before="80"/>
      </w:pPr>
      <w:r>
        <w:rPr>
          <w:rFonts w:ascii="Arial" w:cs="Arial" w:eastAsia="Arial" w:hAnsi="Arial"/>
          <w:color w:val="1A1A2E"/>
          <w:sz w:val="22"/>
          <w:szCs w:val="22"/>
        </w:rPr>
        <w:t xml:space="preserve">L’analisi condotta su sette competitor principali del settore, la sentenza del Tribunale di Firenze del 2020, la posizione pubblica di Jovian Archive e la presenza di numerose librerie open-source convergono verso un’unica conclusione: la geometria del bodygraph è conoscenza standard di dominio pubblico, non proteggibile da copyright da parte di alcun operatore.</w:t>
      </w:r>
    </w:p>
    <w:p>
      <w:pPr>
        <w:spacing w:after="80" w:before="80"/>
      </w:pPr>
      <w:r>
        <w:rPr>
          <w:rFonts w:ascii="Arial" w:cs="Arial" w:eastAsia="Arial" w:hAnsi="Arial"/>
          <w:color w:val="1A1A2E"/>
          <w:sz w:val="22"/>
          <w:szCs w:val="22"/>
        </w:rPr>
        <w:t xml:space="preserve">L’unica area di attenzione concreta — l’uso iniziale del file SVG di simplechartcalculator — è stata eliminata alla radice con la rigenerazione completa del file da codice sorgente proprietario.</w:t>
      </w:r>
    </w:p>
    <w:p>
      <w:pPr>
        <w:spacing w:after="80" w:before="80"/>
      </w:pPr>
    </w:p>
    <w:p>
      <w:pPr>
        <w:pBdr>
          <w:bottom w:val="single" w:color="B0C4DE" w:sz="4" w:space="4"/>
        </w:pBdr>
        <w:spacing w:after="240" w:before="240"/>
      </w:pPr>
    </w:p>
    <w:p>
      <w:pPr>
        <w:spacing w:after="80" w:before="200"/>
      </w:pPr>
      <w:r>
        <w:rPr>
          <w:rFonts w:ascii="Arial" w:cs="Arial" w:eastAsia="Arial" w:hAnsi="Arial"/>
          <w:b/>
          <w:bCs/>
          <w:color w:val="1F3A5F"/>
          <w:sz w:val="20"/>
          <w:szCs w:val="20"/>
        </w:rPr>
        <w:t xml:space="preserve">NOTA IMPORTANTE</w:t>
      </w:r>
    </w:p>
    <w:p>
      <w:pPr>
        <w:spacing w:after="80" w:before="0"/>
      </w:pPr>
      <w:r>
        <w:rPr>
          <w:rFonts w:ascii="Arial" w:cs="Arial" w:eastAsia="Arial" w:hAnsi="Arial"/>
          <w:i/>
          <w:iCs/>
          <w:color w:val="666666"/>
          <w:sz w:val="19"/>
          <w:szCs w:val="19"/>
        </w:rPr>
        <w:t xml:space="preserve">Il presente documento costituisce un’analisi tecnica e documentale preparata internamente a scopo informativo. Non costituisce parere legale ai sensi dell’art. 2 del D.Lgs. 96/2001 e non sostituisce la consulenza di un avvocato abilitato. I riferimenti giurisprudenziali sono forniti a titolo orientativo e richiedono verifica da parte di un professionista legale. Si raccomanda la revisione da parte di un avvocato specializzato in diritto della proprietà intellettuale prima di trarre conclusioni definitive.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jc w:val="center"/>
    </w:pPr>
    <w:r>
      <w:rPr>
        <w:rFonts w:ascii="Arial" w:cs="Arial" w:eastAsia="Arial" w:hAnsi="Arial"/>
        <w:color w:val="888888"/>
        <w:sz w:val="18"/>
        <w:szCs w:val="18"/>
      </w:rPr>
      <w:t xml:space="preserve">Documento riservato — uso interno / consulenza legale    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426"/>
      </w:tabs>
    </w:pPr>
    <w:r>
      <w:rPr>
        <w:rFonts w:ascii="Arial" w:cs="Arial" w:eastAsia="Arial" w:hAnsi="Arial"/>
        <w:b/>
        <w:bCs/>
        <w:color w:val="1F3A5F"/>
        <w:sz w:val="20"/>
        <w:szCs w:val="20"/>
      </w:rPr>
      <w:t xml:space="preserve">PROSPETTO LEGALE — valentinarussobg5.com</w:t>
    </w:r>
    <w:r>
      <w:rPr>
        <w:rFonts w:ascii="Arial" w:cs="Arial" w:eastAsia="Arial" w:hAnsi="Arial"/>
        <w:color w:val="888888"/>
        <w:sz w:val="18"/>
        <w:szCs w:val="18"/>
      </w:rPr>
      <w:t xml:space="preserve">	25 marzo 2026 —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5F9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2026-03-25T10:09:28.876Z</dcterms:created>
  <dcterms:modified xsi:type="dcterms:W3CDTF">2026-03-25T10:09:28.877Z</dcterms:modified>
</cp:coreProperties>
</file>

<file path=docProps/custom.xml><?xml version="1.0" encoding="utf-8"?>
<Properties xmlns="http://schemas.openxmlformats.org/officeDocument/2006/custom-properties" xmlns:vt="http://schemas.openxmlformats.org/officeDocument/2006/docPropsVTypes"/>
</file>