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A5F"/>
          <w:sz w:val="40"/>
          <w:szCs w:val="40"/>
        </w:rPr>
        <w:t xml:space="preserve">PROSPETTO LEGALE</w:t>
      </w:r>
    </w:p>
    <w:p>
      <w:pPr>
        <w:spacing w:after="80" w:before="0"/>
        <w:jc w:val="center"/>
      </w:pPr>
      <w:r>
        <w:rPr>
          <w:rFonts w:ascii="Arial" w:cs="Arial" w:eastAsia="Arial" w:hAnsi="Arial"/>
          <w:color w:val="2E5F9E"/>
          <w:sz w:val="28"/>
          <w:szCs w:val="28"/>
        </w:rPr>
        <w:t xml:space="preserve">Utilizzo del Bodygraph Human Design su Sito Web</w:t>
      </w:r>
    </w:p>
    <w:p>
      <w:pPr>
        <w:spacing w:after="80" w:before="0"/>
        <w:jc w:val="center"/>
      </w:pPr>
      <w:r>
        <w:rPr>
          <w:rFonts w:ascii="Arial" w:cs="Arial" w:eastAsia="Arial" w:hAnsi="Arial"/>
          <w:i/>
          <w:iCs/>
          <w:color w:val="666666"/>
          <w:sz w:val="22"/>
          <w:szCs w:val="22"/>
        </w:rPr>
        <w:t xml:space="preserve">Analisi di rischio copyright — valentinarussobg5.com</w:t>
      </w:r>
    </w:p>
    <w:p>
      <w:pPr>
        <w:spacing w:after="480" w:before="0"/>
        <w:jc w:val="center"/>
      </w:pPr>
      <w:r>
        <w:rPr>
          <w:rFonts w:ascii="Arial" w:cs="Arial" w:eastAsia="Arial" w:hAnsi="Arial"/>
          <w:color w:val="888888"/>
          <w:sz w:val="20"/>
          <w:szCs w:val="20"/>
        </w:rPr>
        <w:t xml:space="preserve">Data: 25 marzo 2026</w:t>
      </w:r>
    </w:p>
    <w:p>
      <w:pPr>
        <w:pBdr>
          <w:bottom w:val="single" w:color="B0C4DE" w:sz="4" w:space="4"/>
        </w:pBdr>
        <w:spacing w:after="200" w:before="200"/>
      </w:pPr>
    </w:p>
    <w:p>
      <w:pPr>
        <w:pStyle w:val="Heading1"/>
        <w:spacing w:after="160" w:before="360"/>
      </w:pPr>
      <w:r>
        <w:rPr>
          <w:rFonts w:ascii="Arial" w:cs="Arial" w:eastAsia="Arial" w:hAnsi="Arial"/>
          <w:b/>
          <w:bCs/>
          <w:color w:val="2E5F9E"/>
          <w:sz w:val="28"/>
          <w:szCs w:val="28"/>
        </w:rPr>
        <w:t xml:space="preserve">1. Contesto</w:t>
      </w:r>
    </w:p>
    <w:p>
      <w:pPr>
        <w:spacing w:after="80" w:before="80"/>
      </w:pPr>
      <w:r>
        <w:rPr>
          <w:rFonts w:ascii="Arial" w:cs="Arial" w:eastAsia="Arial" w:hAnsi="Arial"/>
          <w:color w:val="1A1A2E"/>
          <w:sz w:val="22"/>
          <w:szCs w:val="22"/>
        </w:rPr>
        <w:t xml:space="preserve">Il sito valentinarussobg5.com (titolare: Valentina Russo, Consulente BG5® certificata) include uno strumento gratuito che calcola e visualizza la Carta Human Design dell’utente.</w:t>
      </w:r>
    </w:p>
    <w:p>
      <w:pPr>
        <w:spacing w:after="80" w:before="80"/>
      </w:pPr>
      <w:r>
        <w:rPr>
          <w:rFonts w:ascii="Arial" w:cs="Arial" w:eastAsia="Arial" w:hAnsi="Arial"/>
          <w:color w:val="1A1A2E"/>
          <w:sz w:val="22"/>
          <w:szCs w:val="22"/>
        </w:rPr>
        <w:t xml:space="preserve">La visualizzazione include un grafico SVG denominato “bodygraph” che rappresenta:</w:t>
      </w:r>
    </w:p>
    <w:p>
      <w:pPr>
        <w:pStyle w:val="ListParagraph"/>
        <w:numPr>
          <w:ilvl w:val="0"/>
          <w:numId w:val="2"/>
        </w:numPr>
        <w:spacing w:after="60" w:before="60"/>
      </w:pPr>
      <w:r>
        <w:rPr>
          <w:rFonts w:ascii="Arial" w:cs="Arial" w:eastAsia="Arial" w:hAnsi="Arial"/>
          <w:color w:val="1A1A2E"/>
          <w:sz w:val="22"/>
          <w:szCs w:val="22"/>
        </w:rPr>
        <w:t xml:space="preserve">9 centri energetici</w:t>
      </w:r>
    </w:p>
    <w:p>
      <w:pPr>
        <w:pStyle w:val="ListParagraph"/>
        <w:numPr>
          <w:ilvl w:val="0"/>
          <w:numId w:val="2"/>
        </w:numPr>
        <w:spacing w:after="60" w:before="60"/>
      </w:pPr>
      <w:r>
        <w:rPr>
          <w:rFonts w:ascii="Arial" w:cs="Arial" w:eastAsia="Arial" w:hAnsi="Arial"/>
          <w:color w:val="1A1A2E"/>
          <w:sz w:val="22"/>
          <w:szCs w:val="22"/>
        </w:rPr>
        <w:t xml:space="preserve">64 gate (posizioni planetarie)</w:t>
      </w:r>
    </w:p>
    <w:p>
      <w:pPr>
        <w:pStyle w:val="ListParagraph"/>
        <w:numPr>
          <w:ilvl w:val="0"/>
          <w:numId w:val="2"/>
        </w:numPr>
        <w:spacing w:after="60" w:before="60"/>
      </w:pPr>
      <w:r>
        <w:rPr>
          <w:rFonts w:ascii="Arial" w:cs="Arial" w:eastAsia="Arial" w:hAnsi="Arial"/>
          <w:color w:val="1A1A2E"/>
          <w:sz w:val="22"/>
          <w:szCs w:val="22"/>
        </w:rPr>
        <w:t xml:space="preserve">36 canali (connessioni tra gate e centri)</w:t>
      </w:r>
    </w:p>
    <w:p>
      <w:pPr>
        <w:spacing w:after="100" w:before="100"/>
      </w:pPr>
    </w:p>
    <w:p>
      <w:pPr>
        <w:spacing w:after="80" w:before="80"/>
      </w:pPr>
      <w:r>
        <w:rPr>
          <w:rFonts w:ascii="Arial" w:cs="Arial" w:eastAsia="Arial" w:hAnsi="Arial"/>
          <w:color w:val="1A1A2E"/>
          <w:sz w:val="22"/>
          <w:szCs w:val="22"/>
        </w:rPr>
        <w:t xml:space="preserve">Questa struttura costituisce la rappresentazione grafica standard del Sistema Human Design, definita e resa pubblica da Ra Uru Hu a partire dal 1987 e diffusa in tutto il mondo attraverso l’International Human Design School (IHDS) e Jovian Archive.</w:t>
      </w:r>
    </w:p>
    <w:p>
      <w:pPr>
        <w:pStyle w:val="Heading1"/>
        <w:spacing w:after="160" w:before="360"/>
      </w:pPr>
      <w:r>
        <w:rPr>
          <w:rFonts w:ascii="Arial" w:cs="Arial" w:eastAsia="Arial" w:hAnsi="Arial"/>
          <w:b/>
          <w:bCs/>
          <w:color w:val="2E5F9E"/>
          <w:sz w:val="28"/>
          <w:szCs w:val="28"/>
        </w:rPr>
        <w:t xml:space="preserve">2. La questione</w:t>
      </w:r>
    </w:p>
    <w:p>
      <w:pPr>
        <w:spacing w:after="80" w:before="80"/>
      </w:pPr>
      <w:r>
        <w:rPr>
          <w:rFonts w:ascii="Arial" w:cs="Arial" w:eastAsia="Arial" w:hAnsi="Arial"/>
          <w:color w:val="1A1A2E"/>
          <w:sz w:val="22"/>
          <w:szCs w:val="22"/>
        </w:rPr>
        <w:t xml:space="preserve">Si è valutato se l’implementazione SVG del bodygraph potesse costituire una violazione dei diritti di terzi, in particolare rispetto al sito simplechartcalculator.com, da cui era stato estratto il file SVG originario come base di partenza per lo sviluppo dello strumento.</w:t>
      </w:r>
    </w:p>
    <w:p>
      <w:pPr>
        <w:spacing w:after="80" w:before="80"/>
      </w:pPr>
      <w:r>
        <w:rPr>
          <w:rFonts w:ascii="Arial" w:cs="Arial" w:eastAsia="Arial" w:hAnsi="Arial"/>
          <w:color w:val="1A1A2E"/>
          <w:sz w:val="22"/>
          <w:szCs w:val="22"/>
        </w:rPr>
        <w:t xml:space="preserve">Il file SVG estratto è stato successivamente utilizzato come riferimento geometrico per la fase di sviluppo. A seguito della valutazione del rischio, il file è stato integralmente sostituito (v. Sezione 3).</w:t>
      </w:r>
    </w:p>
    <w:p>
      <w:pPr>
        <w:pStyle w:val="Heading1"/>
        <w:spacing w:after="160" w:before="360"/>
      </w:pPr>
      <w:r>
        <w:rPr>
          <w:rFonts w:ascii="Arial" w:cs="Arial" w:eastAsia="Arial" w:hAnsi="Arial"/>
          <w:b/>
          <w:bCs/>
          <w:color w:val="2E5F9E"/>
          <w:sz w:val="28"/>
          <w:szCs w:val="28"/>
        </w:rPr>
        <w:t xml:space="preserve">3. Azioni correttive eseguite (25 marzo 2026)</w:t>
      </w:r>
    </w:p>
    <w:p>
      <w:pPr>
        <w:spacing w:after="80" w:before="80"/>
      </w:pPr>
      <w:r>
        <w:rPr>
          <w:rFonts w:ascii="Arial" w:cs="Arial" w:eastAsia="Arial" w:hAnsi="Arial"/>
          <w:color w:val="1A1A2E"/>
          <w:sz w:val="22"/>
          <w:szCs w:val="22"/>
        </w:rPr>
        <w:t xml:space="preserve">Il file SVG del bodygraph è stato completamente ridisegnato e rigenerato da zero tramite un generatore Python proprietario sviluppato internamente (file: tools/generate_bodygraph.py, repository git con timestamp verificabile).</w:t>
      </w:r>
    </w:p>
    <w:p>
      <w:pPr>
        <w:spacing w:after="100" w:before="100"/>
      </w:pPr>
    </w:p>
    <w:p>
      <w:pPr>
        <w:spacing w:after="80" w:before="80"/>
      </w:pPr>
      <w:r>
        <w:rPr>
          <w:rFonts w:ascii="Arial" w:cs="Arial" w:eastAsia="Arial" w:hAnsi="Arial"/>
          <w:b/>
          <w:bCs/>
          <w:color w:val="1A1A2E"/>
          <w:sz w:val="22"/>
          <w:szCs w:val="22"/>
        </w:rPr>
        <w:t xml:space="preserve">Modifiche tecniche apportate:</w:t>
      </w:r>
    </w:p>
    <w:p>
      <w:pPr>
        <w:pStyle w:val="ListParagraph"/>
        <w:numPr>
          <w:ilvl w:val="0"/>
          <w:numId w:val="2"/>
        </w:numPr>
        <w:spacing w:after="60" w:before="60"/>
      </w:pPr>
      <w:r>
        <w:rPr>
          <w:rFonts w:ascii="Arial" w:cs="Arial" w:eastAsia="Arial" w:hAnsi="Arial"/>
          <w:color w:val="1A1A2E"/>
          <w:sz w:val="22"/>
          <w:szCs w:val="22"/>
        </w:rPr>
        <w:t xml:space="preserve">Nuovo sistema di coordinate indipendente (viewBox 420×660, diverso da qualsiasi implementazione terza)</w:t>
      </w:r>
    </w:p>
    <w:p>
      <w:pPr>
        <w:pStyle w:val="ListParagraph"/>
        <w:numPr>
          <w:ilvl w:val="0"/>
          <w:numId w:val="2"/>
        </w:numPr>
        <w:spacing w:after="60" w:before="60"/>
      </w:pPr>
      <w:r>
        <w:rPr>
          <w:rFonts w:ascii="Arial" w:cs="Arial" w:eastAsia="Arial" w:hAnsi="Arial"/>
          <w:color w:val="1A1A2E"/>
          <w:sz w:val="22"/>
          <w:szCs w:val="22"/>
        </w:rPr>
        <w:t xml:space="preserve">Tutti i valori numerici ricalcolati con formula propria (scala 420/368.725 × 660/575.826)</w:t>
      </w:r>
    </w:p>
    <w:p>
      <w:pPr>
        <w:pStyle w:val="ListParagraph"/>
        <w:numPr>
          <w:ilvl w:val="0"/>
          <w:numId w:val="2"/>
        </w:numPr>
        <w:spacing w:after="60" w:before="60"/>
      </w:pPr>
      <w:r>
        <w:rPr>
          <w:rFonts w:ascii="Arial" w:cs="Arial" w:eastAsia="Arial" w:hAnsi="Arial"/>
          <w:color w:val="1A1A2E"/>
          <w:sz w:val="22"/>
          <w:szCs w:val="22"/>
        </w:rPr>
        <w:t xml:space="preserve">Marker gate: rettangoli arrotondati (&lt;rect rx="2"&gt;) invece di cerchi</w:t>
      </w:r>
    </w:p>
    <w:p>
      <w:pPr>
        <w:pStyle w:val="ListParagraph"/>
        <w:numPr>
          <w:ilvl w:val="0"/>
          <w:numId w:val="2"/>
        </w:numPr>
        <w:spacing w:after="60" w:before="60"/>
      </w:pPr>
      <w:r>
        <w:rPr>
          <w:rFonts w:ascii="Arial" w:cs="Arial" w:eastAsia="Arial" w:hAnsi="Arial"/>
          <w:color w:val="1A1A2E"/>
          <w:sz w:val="22"/>
          <w:szCs w:val="22"/>
        </w:rPr>
        <w:t xml:space="preserve">Font: Georgia serif (diverso dall’Arial Bold delle implementazioni standard)</w:t>
      </w:r>
    </w:p>
    <w:p>
      <w:pPr>
        <w:pStyle w:val="ListParagraph"/>
        <w:numPr>
          <w:ilvl w:val="0"/>
          <w:numId w:val="2"/>
        </w:numPr>
        <w:spacing w:after="60" w:before="60"/>
      </w:pPr>
      <w:r>
        <w:rPr>
          <w:rFonts w:ascii="Arial" w:cs="Arial" w:eastAsia="Arial" w:hAnsi="Arial"/>
          <w:color w:val="1A1A2E"/>
          <w:sz w:val="22"/>
          <w:szCs w:val="22"/>
        </w:rPr>
        <w:t xml:space="preserve">ID elementi SVG: schema proprietario (es. "ch-20-34") diverso da qualsiasi convenzione terza</w:t>
      </w:r>
    </w:p>
    <w:p>
      <w:pPr>
        <w:pStyle w:val="ListParagraph"/>
        <w:numPr>
          <w:ilvl w:val="0"/>
          <w:numId w:val="2"/>
        </w:numPr>
        <w:spacing w:after="60" w:before="60"/>
      </w:pPr>
      <w:r>
        <w:rPr>
          <w:rFonts w:ascii="Arial" w:cs="Arial" w:eastAsia="Arial" w:hAnsi="Arial"/>
          <w:color w:val="1A1A2E"/>
          <w:sz w:val="22"/>
          <w:szCs w:val="22"/>
        </w:rPr>
        <w:t xml:space="preserve">Angoli arrotondati sui centri quadrati (Gola, Sacrale, Radice) — raggio r=9</w:t>
      </w:r>
    </w:p>
    <w:p>
      <w:pPr>
        <w:pStyle w:val="ListParagraph"/>
        <w:numPr>
          <w:ilvl w:val="0"/>
          <w:numId w:val="2"/>
        </w:numPr>
        <w:spacing w:after="60" w:before="60"/>
      </w:pPr>
      <w:r>
        <w:rPr>
          <w:rFonts w:ascii="Arial" w:cs="Arial" w:eastAsia="Arial" w:hAnsi="Arial"/>
          <w:color w:val="1A1A2E"/>
          <w:sz w:val="22"/>
          <w:szCs w:val="22"/>
        </w:rPr>
        <w:t xml:space="preserve">Renderer JavaScript completamente riscritto con logica di colorazione per canale (non per gate individuale)</w:t>
      </w:r>
    </w:p>
    <w:p>
      <w:pPr>
        <w:spacing w:after="100" w:before="100"/>
      </w:pPr>
    </w:p>
    <w:p>
      <w:pPr>
        <w:spacing w:after="80" w:before="80"/>
      </w:pPr>
      <w:r>
        <w:rPr>
          <w:rFonts w:ascii="Arial" w:cs="Arial" w:eastAsia="Arial" w:hAnsi="Arial"/>
          <w:color w:val="1A1A2E"/>
          <w:sz w:val="22"/>
          <w:szCs w:val="22"/>
        </w:rPr>
        <w:t xml:space="preserve">Nessun path data, coordinata numerica o stringa identificativa è stato copiato da file SVG di terzi. Il codice sorgente del generatore è disponibile per ispezione.</w:t>
      </w:r>
    </w:p>
    <w:p>
      <w:pPr>
        <w:pStyle w:val="Heading1"/>
        <w:spacing w:after="160" w:before="360"/>
      </w:pPr>
      <w:r>
        <w:rPr>
          <w:rFonts w:ascii="Arial" w:cs="Arial" w:eastAsia="Arial" w:hAnsi="Arial"/>
          <w:b/>
          <w:bCs/>
          <w:color w:val="2E5F9E"/>
          <w:sz w:val="28"/>
          <w:szCs w:val="28"/>
        </w:rPr>
        <w:t xml:space="preserve">4. Ricerca sulla proteggibilità del bodygraph Human Design</w:t>
      </w:r>
    </w:p>
    <w:p>
      <w:pPr>
        <w:pStyle w:val="Heading2"/>
        <w:spacing w:after="120" w:before="240"/>
      </w:pPr>
      <w:r>
        <w:rPr>
          <w:rFonts w:ascii="Arial" w:cs="Arial" w:eastAsia="Arial" w:hAnsi="Arial"/>
          <w:b/>
          <w:bCs/>
          <w:color w:val="2E5F9E"/>
          <w:sz w:val="24"/>
          <w:szCs w:val="24"/>
        </w:rPr>
        <w:t xml:space="preserve">4.1  Sentenza — Tribunale di Firenze, 3 giugno 2020</w:t>
      </w:r>
    </w:p>
    <w:p>
      <w:pPr>
        <w:spacing w:after="80" w:before="80"/>
      </w:pPr>
      <w:r>
        <w:rPr>
          <w:rFonts w:ascii="Arial" w:cs="Arial" w:eastAsia="Arial" w:hAnsi="Arial"/>
          <w:color w:val="1A1A2E"/>
          <w:sz w:val="22"/>
          <w:szCs w:val="22"/>
        </w:rPr>
        <w:t xml:space="preserve">Il Tribunale di Firenze ha emesso una sentenza direttamente rilevante al caso, stabilendo che:</w:t>
      </w:r>
    </w:p>
    <w:p>
      <w:pPr>
        <w:pBdr>
          <w:left w:val="single" w:color="2E5F9E" w:sz="8" w:space="8"/>
        </w:pBdr>
        <w:spacing w:after="120" w:before="120"/>
        <w:ind w:left="720"/>
      </w:pPr>
      <w:r>
        <w:rPr>
          <w:rFonts w:ascii="Arial" w:cs="Arial" w:eastAsia="Arial" w:hAnsi="Arial"/>
          <w:i/>
          <w:iCs/>
          <w:color w:val="444466"/>
          <w:sz w:val="21"/>
          <w:szCs w:val="21"/>
        </w:rPr>
        <w:t xml:space="preserve">"Non è stata fornita alcuna prova che la protezione del copyright possa essere estesa alle procedure, idee, metodi di funzionamento, concetti, principi del Sistema Human Design."</w:t>
      </w:r>
    </w:p>
    <w:p>
      <w:pPr>
        <w:spacing w:after="80" w:before="80"/>
      </w:pPr>
      <w:r>
        <w:rPr>
          <w:rFonts w:ascii="Arial" w:cs="Arial" w:eastAsia="Arial" w:hAnsi="Arial"/>
          <w:color w:val="1A1A2E"/>
          <w:sz w:val="22"/>
          <w:szCs w:val="22"/>
        </w:rPr>
        <w:t xml:space="preserve">Il tribunale ha applicato il principio della Convenzione di Berna (art. 9.2 e dottrina consolidata), secondo cui il copyright non può coprire:</w:t>
      </w:r>
    </w:p>
    <w:p>
      <w:pPr>
        <w:pBdr>
          <w:left w:val="single" w:color="2E5F9E" w:sz="8" w:space="8"/>
        </w:pBdr>
        <w:spacing w:after="120" w:before="120"/>
        <w:ind w:left="720"/>
      </w:pPr>
      <w:r>
        <w:rPr>
          <w:rFonts w:ascii="Arial" w:cs="Arial" w:eastAsia="Arial" w:hAnsi="Arial"/>
          <w:i/>
          <w:iCs/>
          <w:color w:val="444466"/>
          <w:sz w:val="21"/>
          <w:szCs w:val="21"/>
        </w:rPr>
        <w:t xml:space="preserve">"un’idea, procedura, processo, sistema, metodo di funzionamento, concetto, principio o scoperta, indipendentemente dalla forma in cui è descritto."</w:t>
      </w:r>
    </w:p>
    <w:p>
      <w:pPr>
        <w:spacing w:after="80" w:before="80"/>
      </w:pPr>
      <w:r>
        <w:rPr>
          <w:rFonts w:ascii="Arial" w:cs="Arial" w:eastAsia="Arial" w:hAnsi="Arial"/>
          <w:color w:val="1A1A2E"/>
          <w:sz w:val="22"/>
          <w:szCs w:val="22"/>
        </w:rPr>
        <w:t xml:space="preserve">La struttura del bodygraph (9 centri, 36 canali, 64 gate con relative posizioni) rientra nella categoria di sistema/metodo e non è pertanto soggetta a tutela autoriale.</w:t>
      </w:r>
    </w:p>
    <w:p>
      <w:pPr>
        <w:pStyle w:val="Heading2"/>
        <w:spacing w:after="120" w:before="240"/>
      </w:pPr>
      <w:r>
        <w:rPr>
          <w:rFonts w:ascii="Arial" w:cs="Arial" w:eastAsia="Arial" w:hAnsi="Arial"/>
          <w:b/>
          <w:bCs/>
          <w:color w:val="2E5F9E"/>
          <w:sz w:val="24"/>
          <w:szCs w:val="24"/>
        </w:rPr>
        <w:t xml:space="preserve">4.2  Posizione di Jovian Archive Media Pte. Ltd.</w:t>
      </w:r>
    </w:p>
    <w:p>
      <w:pPr>
        <w:spacing w:after="80" w:before="80"/>
      </w:pPr>
      <w:r>
        <w:rPr>
          <w:rFonts w:ascii="Arial" w:cs="Arial" w:eastAsia="Arial" w:hAnsi="Arial"/>
          <w:color w:val="1A1A2E"/>
          <w:sz w:val="22"/>
          <w:szCs w:val="22"/>
        </w:rPr>
        <w:t xml:space="preserve">Jovian Archive Media Pte. Ltd. è il detentore ufficiale del Sistema Human Design. Le sue rivendicazioni legali riguardano:</w:t>
      </w:r>
    </w:p>
    <w:p>
      <w:pPr>
        <w:pStyle w:val="ListParagraph"/>
        <w:numPr>
          <w:ilvl w:val="0"/>
          <w:numId w:val="2"/>
        </w:numPr>
        <w:spacing w:after="60" w:before="60"/>
      </w:pPr>
      <w:r>
        <w:rPr>
          <w:rFonts w:ascii="Arial" w:cs="Arial" w:eastAsia="Arial" w:hAnsi="Arial"/>
          <w:color w:val="1A1A2E"/>
          <w:sz w:val="22"/>
          <w:szCs w:val="22"/>
        </w:rPr>
        <w:t xml:space="preserve">Gli insegnamenti del Sistema Human Design (opere letterarie di Ra Uru Hu)</w:t>
      </w:r>
    </w:p>
    <w:p>
      <w:pPr>
        <w:pStyle w:val="ListParagraph"/>
        <w:numPr>
          <w:ilvl w:val="0"/>
          <w:numId w:val="2"/>
        </w:numPr>
        <w:spacing w:after="60" w:before="60"/>
      </w:pPr>
      <w:r>
        <w:rPr>
          <w:rFonts w:ascii="Arial" w:cs="Arial" w:eastAsia="Arial" w:hAnsi="Arial"/>
          <w:color w:val="1A1A2E"/>
          <w:sz w:val="22"/>
          <w:szCs w:val="22"/>
        </w:rPr>
        <w:t xml:space="preserve">I marchi registrati "Rave Bodygraph" e "Rave Mandala"</w:t>
      </w:r>
    </w:p>
    <w:p>
      <w:pPr>
        <w:pStyle w:val="ListParagraph"/>
        <w:numPr>
          <w:ilvl w:val="0"/>
          <w:numId w:val="2"/>
        </w:numPr>
        <w:spacing w:after="60" w:before="60"/>
      </w:pPr>
      <w:r>
        <w:rPr>
          <w:rFonts w:ascii="Arial" w:cs="Arial" w:eastAsia="Arial" w:hAnsi="Arial"/>
          <w:color w:val="1A1A2E"/>
          <w:sz w:val="22"/>
          <w:szCs w:val="22"/>
        </w:rPr>
        <w:t xml:space="preserve">Il nome e le pubblicazioni di Ra Uru Hu</w:t>
      </w:r>
    </w:p>
    <w:p>
      <w:pPr>
        <w:spacing w:after="100" w:before="100"/>
      </w:pPr>
    </w:p>
    <w:p>
      <w:pPr>
        <w:spacing w:after="80" w:before="80"/>
      </w:pPr>
      <w:r>
        <w:rPr>
          <w:rFonts w:ascii="Arial" w:cs="Arial" w:eastAsia="Arial" w:hAnsi="Arial"/>
          <w:color w:val="1A1A2E"/>
          <w:sz w:val="22"/>
          <w:szCs w:val="22"/>
        </w:rPr>
        <w:t xml:space="preserve">Jovian Archive NON rivendica copyright sulla geometria del bodygraph come struttura grafica (posizioni dei 64 gate, forma dei 9 centri, tracciato dei 36 canali). Tali elementi sono trattati come conoscenza di sistema, non come opera creativa proprietaria.</w:t>
      </w:r>
    </w:p>
    <w:p>
      <w:pPr>
        <w:pStyle w:val="Heading2"/>
        <w:spacing w:after="120" w:before="240"/>
      </w:pPr>
      <w:r>
        <w:rPr>
          <w:rFonts w:ascii="Arial" w:cs="Arial" w:eastAsia="Arial" w:hAnsi="Arial"/>
          <w:b/>
          <w:bCs/>
          <w:color w:val="2E5F9E"/>
          <w:sz w:val="24"/>
          <w:szCs w:val="24"/>
        </w:rPr>
        <w:t xml:space="preserve">4.3  Precedenti open-source</w:t>
      </w:r>
    </w:p>
    <w:p>
      <w:pPr>
        <w:spacing w:after="80" w:before="80"/>
      </w:pPr>
      <w:r>
        <w:rPr>
          <w:rFonts w:ascii="Arial" w:cs="Arial" w:eastAsia="Arial" w:hAnsi="Arial"/>
          <w:color w:val="1A1A2E"/>
          <w:sz w:val="22"/>
          <w:szCs w:val="22"/>
        </w:rPr>
        <w:t xml:space="preserve">Esistono numerose implementazioni open-source del bodygraph SVG disponibili pubblicamente, nessuna delle quali risulta soggetta a contestazioni legali:</w:t>
      </w:r>
    </w:p>
    <w:p>
      <w:pPr>
        <w:pStyle w:val="ListParagraph"/>
        <w:numPr>
          <w:ilvl w:val="0"/>
          <w:numId w:val="2"/>
        </w:numPr>
        <w:spacing w:after="60" w:before="60"/>
      </w:pPr>
      <w:r>
        <w:rPr>
          <w:rFonts w:ascii="Arial" w:cs="Arial" w:eastAsia="Arial" w:hAnsi="Arial"/>
          <w:color w:val="1A1A2E"/>
          <w:sz w:val="22"/>
          <w:szCs w:val="22"/>
        </w:rPr>
        <w:t xml:space="preserve">hdkit — licenza MIT (GitHub, pubblico)</w:t>
      </w:r>
    </w:p>
    <w:p>
      <w:pPr>
        <w:pStyle w:val="ListParagraph"/>
        <w:numPr>
          <w:ilvl w:val="0"/>
          <w:numId w:val="2"/>
        </w:numPr>
        <w:spacing w:after="60" w:before="60"/>
      </w:pPr>
      <w:r>
        <w:rPr>
          <w:rFonts w:ascii="Arial" w:cs="Arial" w:eastAsia="Arial" w:hAnsi="Arial"/>
          <w:color w:val="1A1A2E"/>
          <w:sz w:val="22"/>
          <w:szCs w:val="22"/>
        </w:rPr>
        <w:t xml:space="preserve">bodygraph-api-php — PHP library (GitHub, pubblico)</w:t>
      </w:r>
    </w:p>
    <w:p>
      <w:pPr>
        <w:pStyle w:val="ListParagraph"/>
        <w:numPr>
          <w:ilvl w:val="0"/>
          <w:numId w:val="2"/>
        </w:numPr>
        <w:spacing w:after="60" w:before="60"/>
      </w:pPr>
      <w:r>
        <w:rPr>
          <w:rFonts w:ascii="Arial" w:cs="Arial" w:eastAsia="Arial" w:hAnsi="Arial"/>
          <w:color w:val="1A1A2E"/>
          <w:sz w:val="22"/>
          <w:szCs w:val="22"/>
        </w:rPr>
        <w:t xml:space="preserve">SharpAstrology.HumanDesign — licenza MIT, implementazione C#</w:t>
      </w:r>
    </w:p>
    <w:p>
      <w:pPr>
        <w:spacing w:after="100" w:before="100"/>
      </w:pPr>
    </w:p>
    <w:p>
      <w:pPr>
        <w:spacing w:after="80" w:before="80"/>
      </w:pPr>
      <w:r>
        <w:rPr>
          <w:rFonts w:ascii="Arial" w:cs="Arial" w:eastAsia="Arial" w:hAnsi="Arial"/>
          <w:color w:val="1A1A2E"/>
          <w:sz w:val="22"/>
          <w:szCs w:val="22"/>
        </w:rPr>
        <w:t xml:space="preserve">La presenza di queste librerie open-source conferma che la geometria del bodygraph è considerata nel settore come conoscenza standard liberamente implementabile.</w:t>
      </w:r>
    </w:p>
    <w:p>
      <w:pPr>
        <w:pStyle w:val="Heading2"/>
        <w:spacing w:after="120" w:before="240"/>
      </w:pPr>
      <w:r>
        <w:rPr>
          <w:rFonts w:ascii="Arial" w:cs="Arial" w:eastAsia="Arial" w:hAnsi="Arial"/>
          <w:b/>
          <w:bCs/>
          <w:color w:val="2E5F9E"/>
          <w:sz w:val="24"/>
          <w:szCs w:val="24"/>
        </w:rPr>
        <w:t xml:space="preserve">4.4  Posizione di simplechartcalculator.com</w:t>
      </w:r>
    </w:p>
    <w:p>
      <w:pPr>
        <w:spacing w:after="80" w:before="80"/>
      </w:pPr>
      <w:r>
        <w:rPr>
          <w:rFonts w:ascii="Arial" w:cs="Arial" w:eastAsia="Arial" w:hAnsi="Arial"/>
          <w:color w:val="1A1A2E"/>
          <w:sz w:val="22"/>
          <w:szCs w:val="22"/>
        </w:rPr>
        <w:t xml:space="preserve">Il sito simplechartcalculator.com riporta unicamente il generico:</w:t>
      </w:r>
    </w:p>
    <w:p>
      <w:pPr>
        <w:pBdr>
          <w:left w:val="single" w:color="2E5F9E" w:sz="8" w:space="8"/>
        </w:pBdr>
        <w:spacing w:after="120" w:before="120"/>
        <w:ind w:left="720"/>
      </w:pPr>
      <w:r>
        <w:rPr>
          <w:rFonts w:ascii="Arial" w:cs="Arial" w:eastAsia="Arial" w:hAnsi="Arial"/>
          <w:i/>
          <w:iCs/>
          <w:color w:val="444466"/>
          <w:sz w:val="21"/>
          <w:szCs w:val="21"/>
        </w:rPr>
        <w:t xml:space="preserve">"© Just A Simple Chart Calculator | 2026"</w:t>
      </w:r>
    </w:p>
    <w:p>
      <w:pPr>
        <w:spacing w:after="80" w:before="80"/>
      </w:pPr>
      <w:r>
        <w:rPr>
          <w:rFonts w:ascii="Arial" w:cs="Arial" w:eastAsia="Arial" w:hAnsi="Arial"/>
          <w:color w:val="1A1A2E"/>
          <w:sz w:val="22"/>
          <w:szCs w:val="22"/>
        </w:rPr>
        <w:t xml:space="preserve">Non sono presenti termini di servizio dettagliati, né rivendicazioni specifiche sulla geometria SVG del bodygraph o sui valori delle coordinate. Il sito non ha avanzato alcun tipo di contestazione.</w:t>
      </w:r>
    </w:p>
    <w:p>
      <w:pPr>
        <w:pStyle w:val="Heading1"/>
        <w:spacing w:after="160" w:before="360"/>
      </w:pPr>
      <w:r>
        <w:rPr>
          <w:rFonts w:ascii="Arial" w:cs="Arial" w:eastAsia="Arial" w:hAnsi="Arial"/>
          <w:b/>
          <w:bCs/>
          <w:color w:val="2E5F9E"/>
          <w:sz w:val="28"/>
          <w:szCs w:val="28"/>
        </w:rPr>
        <w:t xml:space="preserve">5. Valutazione del rischio</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Elemento</w:t>
            </w:r>
          </w:p>
        </w:tc>
        <w:tc>
          <w:tcPr>
            <w:tcW w:type="dxa" w:w="3800"/>
            <w:tcBorders>
              <w:top w:val="single" w:color="B0C4DE" w:sz="1"/>
              <w:left w:val="single" w:color="B0C4DE" w:sz="1"/>
              <w:bottom w:val="single" w:color="B0C4DE" w:sz="1"/>
              <w:right w:val="single" w:color="B0C4DE" w:sz="1"/>
            </w:tcBorders>
            <w:shd w:fill="1F3A5F" w:val="clear"/>
            <w:tcMar>
              <w:top w:type="dxa" w:w="100"/>
              <w:left w:type="dxa" w:w="160"/>
              <w:bottom w:type="dxa" w:w="100"/>
              <w:right w:type="dxa" w:w="160"/>
            </w:tcMar>
          </w:tcPr>
          <w:p>
            <w:r>
              <w:rPr>
                <w:rFonts w:ascii="Arial" w:cs="Arial" w:eastAsia="Arial" w:hAnsi="Arial"/>
                <w:b/>
                <w:bCs/>
                <w:color w:val="FFFFFF"/>
                <w:sz w:val="22"/>
                <w:szCs w:val="22"/>
              </w:rPr>
              <w:t xml:space="preserve">Valutazione / Stato</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Geometria bodygraph (64 gate, 9 centri, 36 canali)</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Non proteggibile — sistema/metodo (Tribunale Firenze 2020)</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Coordinate SVG originali (nostri)</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Generato da codice proprietario — nessuna copia</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Font e stile grafico</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Georgia serif — originale, diverso da implementazioni terze</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Marchi "Rave Bodygraph" / "Rave Mandala"</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Non utilizzati</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Testi e insegnamenti di Ra Uru Hu</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Non riprodotti</w:t>
            </w:r>
          </w:p>
        </w:tc>
      </w:tr>
      <w:tr>
        <w:tc>
          <w:tcPr>
            <w:tcBorders>
              <w:top w:val="single" w:color="B0C4DE" w:sz="1"/>
              <w:left w:val="single" w:color="B0C4DE" w:sz="1"/>
              <w:bottom w:val="single" w:color="B0C4DE" w:sz="1"/>
              <w:right w:val="single" w:color="B0C4DE" w:sz="1"/>
            </w:tcBorders>
            <w:shd w:fill="F5F8FC" w:val="clear"/>
            <w:tcMar>
              <w:top w:type="dxa" w:w="80"/>
              <w:left w:type="dxa" w:w="160"/>
              <w:bottom w:type="dxa" w:w="80"/>
              <w:right w:type="dxa" w:w="160"/>
            </w:tcMar>
          </w:tcPr>
          <w:p>
            <w:r>
              <w:rPr>
                <w:rFonts w:ascii="Arial" w:cs="Arial" w:eastAsia="Arial" w:hAnsi="Arial"/>
                <w:color w:val="1A1A2E"/>
                <w:sz w:val="21"/>
                <w:szCs w:val="21"/>
              </w:rPr>
              <w:t xml:space="preserve">Claim di autorizzazione Jovian Archive</w:t>
            </w:r>
          </w:p>
        </w:tc>
        <w:tc>
          <w:tcPr>
            <w:tcBorders>
              <w:top w:val="single" w:color="B0C4DE" w:sz="1"/>
              <w:left w:val="single" w:color="B0C4DE" w:sz="1"/>
              <w:bottom w:val="single" w:color="B0C4DE" w:sz="1"/>
              <w:right w:val="single" w:color="B0C4DE" w:sz="1"/>
            </w:tcBorders>
            <w:shd w:fill="FFFFFF" w:val="clear"/>
            <w:tcMar>
              <w:top w:type="dxa" w:w="80"/>
              <w:left w:type="dxa" w:w="160"/>
              <w:bottom w:type="dxa" w:w="80"/>
              <w:right w:type="dxa" w:w="160"/>
            </w:tcMar>
          </w:tcPr>
          <w:p>
            <w:r>
              <w:rPr>
                <w:rFonts w:ascii="Arial" w:cs="Arial" w:eastAsia="Arial" w:hAnsi="Arial"/>
                <w:color w:val="1A1A2E"/>
                <w:sz w:val="21"/>
                <w:szCs w:val="21"/>
              </w:rPr>
              <w:t xml:space="preserve">Non affermato</w:t>
            </w:r>
          </w:p>
        </w:tc>
      </w:tr>
    </w:tbl>
    <w:p>
      <w:pPr>
        <w:spacing w:after="100" w:before="100"/>
      </w:pPr>
    </w:p>
    <w:p>
      <w:pPr>
        <w:spacing w:after="80" w:before="200"/>
      </w:pPr>
      <w:r>
        <w:rPr>
          <w:rFonts w:ascii="Arial" w:cs="Arial" w:eastAsia="Arial" w:hAnsi="Arial"/>
          <w:b/>
          <w:bCs/>
          <w:color w:val="1A1A2E"/>
          <w:sz w:val="22"/>
          <w:szCs w:val="22"/>
        </w:rPr>
        <w:t xml:space="preserve">Livello di rischio complessivo: </w:t>
      </w:r>
      <w:r>
        <w:rPr>
          <w:rFonts w:ascii="Arial" w:cs="Arial" w:eastAsia="Arial" w:hAnsi="Arial"/>
          <w:b/>
          <w:bCs/>
          <w:color w:val="2E7D32"/>
          <w:sz w:val="22"/>
          <w:szCs w:val="22"/>
        </w:rPr>
        <w:t xml:space="preserve">BASSO</w:t>
      </w:r>
    </w:p>
    <w:p>
      <w:pPr>
        <w:pStyle w:val="Heading1"/>
        <w:spacing w:after="160" w:before="360"/>
      </w:pPr>
      <w:r>
        <w:rPr>
          <w:rFonts w:ascii="Arial" w:cs="Arial" w:eastAsia="Arial" w:hAnsi="Arial"/>
          <w:b/>
          <w:bCs/>
          <w:color w:val="2E5F9E"/>
          <w:sz w:val="28"/>
          <w:szCs w:val="28"/>
        </w:rPr>
        <w:t xml:space="preserve">6. Documentazione tecnica disponibile</w:t>
      </w:r>
    </w:p>
    <w:p>
      <w:pPr>
        <w:spacing w:after="80" w:before="80"/>
      </w:pPr>
      <w:r>
        <w:rPr>
          <w:rFonts w:ascii="Arial" w:cs="Arial" w:eastAsia="Arial" w:hAnsi="Arial"/>
          <w:color w:val="1A1A2E"/>
          <w:sz w:val="22"/>
          <w:szCs w:val="22"/>
        </w:rPr>
        <w:t xml:space="preserve">Su richiesta possono essere forniti i seguenti elementi a supporto:</w:t>
      </w:r>
    </w:p>
    <w:p>
      <w:pPr>
        <w:pStyle w:val="ListParagraph"/>
        <w:numPr>
          <w:ilvl w:val="0"/>
          <w:numId w:val="2"/>
        </w:numPr>
        <w:spacing w:after="60" w:before="60"/>
      </w:pPr>
      <w:r>
        <w:rPr>
          <w:rFonts w:ascii="Arial" w:cs="Arial" w:eastAsia="Arial" w:hAnsi="Arial"/>
          <w:color w:val="1A1A2E"/>
          <w:sz w:val="22"/>
          <w:szCs w:val="22"/>
        </w:rPr>
        <w:t xml:space="preserve">tools/generate_bodygraph.py — codice sorgente del generatore SVG proprietario</w:t>
      </w:r>
    </w:p>
    <w:p>
      <w:pPr>
        <w:pStyle w:val="ListParagraph"/>
        <w:numPr>
          <w:ilvl w:val="0"/>
          <w:numId w:val="2"/>
        </w:numPr>
        <w:spacing w:after="60" w:before="60"/>
      </w:pPr>
      <w:r>
        <w:rPr>
          <w:rFonts w:ascii="Arial" w:cs="Arial" w:eastAsia="Arial" w:hAnsi="Arial"/>
          <w:color w:val="1A1A2E"/>
          <w:sz w:val="22"/>
          <w:szCs w:val="22"/>
        </w:rPr>
        <w:t xml:space="preserve">grav-site/user/pages/assets/bodygraph.svg — file SVG attualmente in produzione</w:t>
      </w:r>
    </w:p>
    <w:p>
      <w:pPr>
        <w:pStyle w:val="ListParagraph"/>
        <w:numPr>
          <w:ilvl w:val="0"/>
          <w:numId w:val="2"/>
        </w:numPr>
        <w:spacing w:after="60" w:before="60"/>
      </w:pPr>
      <w:r>
        <w:rPr>
          <w:rFonts w:ascii="Arial" w:cs="Arial" w:eastAsia="Arial" w:hAnsi="Arial"/>
          <w:color w:val="1A1A2E"/>
          <w:sz w:val="22"/>
          <w:szCs w:val="22"/>
        </w:rPr>
        <w:t xml:space="preserve">grav-site/user/themes/valentina/templates/carta_hd.html.twig — renderer JavaScript</w:t>
      </w:r>
    </w:p>
    <w:p>
      <w:pPr>
        <w:pStyle w:val="ListParagraph"/>
        <w:numPr>
          <w:ilvl w:val="0"/>
          <w:numId w:val="2"/>
        </w:numPr>
        <w:spacing w:after="60" w:before="60"/>
      </w:pPr>
      <w:r>
        <w:rPr>
          <w:rFonts w:ascii="Arial" w:cs="Arial" w:eastAsia="Arial" w:hAnsi="Arial"/>
          <w:color w:val="1A1A2E"/>
          <w:sz w:val="22"/>
          <w:szCs w:val="22"/>
        </w:rPr>
        <w:t xml:space="preserve">Git history con timestamp delle modifiche (commit 25 marzo 2026, branch main)</w:t>
      </w:r>
    </w:p>
    <w:p>
      <w:pPr>
        <w:spacing w:after="100" w:before="100"/>
      </w:pPr>
    </w:p>
    <w:p>
      <w:pPr>
        <w:spacing w:after="80" w:before="80"/>
      </w:pPr>
      <w:r>
        <w:rPr>
          <w:rFonts w:ascii="Arial" w:cs="Arial" w:eastAsia="Arial" w:hAnsi="Arial"/>
          <w:color w:val="1A1A2E"/>
          <w:sz w:val="22"/>
          <w:szCs w:val="22"/>
        </w:rPr>
        <w:t xml:space="preserve">Il repository git fornisce prova certa della data di creazione del codice originale e dell’indipendenza rispetto a file di terzi.</w:t>
      </w:r>
    </w:p>
    <w:p>
      <w:pPr>
        <w:pStyle w:val="Heading1"/>
        <w:spacing w:after="160" w:before="360"/>
      </w:pPr>
      <w:r>
        <w:rPr>
          <w:rFonts w:ascii="Arial" w:cs="Arial" w:eastAsia="Arial" w:hAnsi="Arial"/>
          <w:b/>
          <w:bCs/>
          <w:color w:val="2E5F9E"/>
          <w:sz w:val="28"/>
          <w:szCs w:val="28"/>
        </w:rPr>
        <w:t xml:space="preserve">7. Conclusione</w:t>
      </w:r>
    </w:p>
    <w:p>
      <w:pPr>
        <w:spacing w:after="80" w:before="80"/>
      </w:pPr>
      <w:r>
        <w:rPr>
          <w:rFonts w:ascii="Arial" w:cs="Arial" w:eastAsia="Arial" w:hAnsi="Arial"/>
          <w:color w:val="1A1A2E"/>
          <w:sz w:val="22"/>
          <w:szCs w:val="22"/>
        </w:rPr>
        <w:t xml:space="preserve">Il sito valentinarussobg5.com utilizza un’implementazione del bodygraph Human Design completamente originale, generata da codice sorgente proprietario con coordinate e stile grafico propri.</w:t>
      </w:r>
    </w:p>
    <w:p>
      <w:pPr>
        <w:spacing w:after="80" w:before="80"/>
      </w:pPr>
      <w:r>
        <w:rPr>
          <w:rFonts w:ascii="Arial" w:cs="Arial" w:eastAsia="Arial" w:hAnsi="Arial"/>
          <w:color w:val="1A1A2E"/>
          <w:sz w:val="22"/>
          <w:szCs w:val="22"/>
        </w:rPr>
        <w:t xml:space="preserve">La geometria del Sistema Human Design non è proteggibile da copyright secondo la giurisprudenza italiana (Tribunale di Firenze, 2020) e la Convenzione di Berna. Esistono numerosi precedenti open-source che confermano questa interpretazione.</w:t>
      </w:r>
    </w:p>
    <w:p>
      <w:pPr>
        <w:spacing w:after="80" w:before="80"/>
      </w:pPr>
      <w:r>
        <w:rPr>
          <w:rFonts w:ascii="Arial" w:cs="Arial" w:eastAsia="Arial" w:hAnsi="Arial"/>
          <w:color w:val="1A1A2E"/>
          <w:sz w:val="22"/>
          <w:szCs w:val="22"/>
        </w:rPr>
        <w:t xml:space="preserve">Le poche aree di attenzione (marchi registrati Jovian Archive, testi di Ra Uru Hu) sono già rispettate nella configurazione attuale del sito.</w:t>
      </w:r>
    </w:p>
    <w:p>
      <w:pPr>
        <w:spacing w:after="100" w:before="100"/>
      </w:pPr>
    </w:p>
    <w:p>
      <w:pPr>
        <w:pBdr>
          <w:bottom w:val="single" w:color="B0C4DE" w:sz="4" w:space="4"/>
        </w:pBdr>
        <w:spacing w:after="200" w:before="200"/>
      </w:pPr>
    </w:p>
    <w:p>
      <w:pPr>
        <w:spacing w:after="80" w:before="240"/>
      </w:pPr>
      <w:r>
        <w:rPr>
          <w:rFonts w:ascii="Arial" w:cs="Arial" w:eastAsia="Arial" w:hAnsi="Arial"/>
          <w:b/>
          <w:bCs/>
          <w:color w:val="1F3A5F"/>
          <w:sz w:val="20"/>
          <w:szCs w:val="20"/>
        </w:rPr>
        <w:t xml:space="preserve">NOTA IMPORTANTE</w:t>
      </w:r>
    </w:p>
    <w:p>
      <w:pPr>
        <w:spacing w:after="80" w:before="0"/>
      </w:pPr>
      <w:r>
        <w:rPr>
          <w:rFonts w:ascii="Arial" w:cs="Arial" w:eastAsia="Arial" w:hAnsi="Arial"/>
          <w:i/>
          <w:iCs/>
          <w:color w:val="666666"/>
          <w:sz w:val="19"/>
          <w:szCs w:val="19"/>
        </w:rPr>
        <w:t xml:space="preserve">Il presente documento costituisce un’analisi tecnica e documentale preparata internamente a scopo informativo. Non costituisce parere legale ai sensi dell’art. 2 del D.Lgs. 96/2001 e non sostituisce la consulenza di un avvocato abilitato. Si raccomanda la verifica da parte di un professionista legale prima di trarre conclusioni definitive.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jc w:val="center"/>
    </w:pPr>
    <w:r>
      <w:rPr>
        <w:rFonts w:ascii="Arial" w:cs="Arial" w:eastAsia="Arial" w:hAnsi="Arial"/>
        <w:color w:val="888888"/>
        <w:sz w:val="18"/>
        <w:szCs w:val="18"/>
      </w:rPr>
      <w:t xml:space="preserve">Documento riservato — uso interno / consulenza legale    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rFonts w:ascii="Arial" w:cs="Arial" w:eastAsia="Arial" w:hAnsi="Arial"/>
        <w:b/>
        <w:bCs/>
        <w:color w:val="1F3A5F"/>
        <w:sz w:val="20"/>
        <w:szCs w:val="20"/>
      </w:rPr>
      <w:t xml:space="preserve">PROSPETTO LEGALE — valentinarussobg5.com</w:t>
    </w:r>
    <w:r>
      <w:rPr>
        <w:rFonts w:ascii="Arial" w:cs="Arial" w:eastAsia="Arial" w:hAnsi="Arial"/>
        <w:color w:val="888888"/>
        <w:sz w:val="18"/>
        <w:szCs w:val="18"/>
      </w:rPr>
      <w:t xml:space="preserve">	25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9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2026-03-25T10:02:46.877Z</dcterms:created>
  <dcterms:modified xsi:type="dcterms:W3CDTF">2026-03-25T10:02:46.879Z</dcterms:modified>
</cp:coreProperties>
</file>

<file path=docProps/custom.xml><?xml version="1.0" encoding="utf-8"?>
<Properties xmlns="http://schemas.openxmlformats.org/officeDocument/2006/custom-properties" xmlns:vt="http://schemas.openxmlformats.org/officeDocument/2006/docPropsVTypes"/>
</file>