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</w:pPr>
      <w:r>
        <w:rPr>
          <w:rFonts w:ascii="Arial" w:hAnsi="Arial" w:eastAsia="Arial"/>
          <w:b/>
          <w:i w:val="0"/>
          <w:color w:val="8E7CB0"/>
          <w:sz w:val="24"/>
        </w:rPr>
        <w:t>MUARÉ</w:t>
      </w:r>
    </w:p>
    <w:p>
      <w:pPr>
        <w:spacing w:after="160"/>
      </w:pPr>
      <w:r>
        <w:rPr>
          <w:rFonts w:ascii="Arial" w:hAnsi="Arial" w:eastAsia="Arial"/>
          <w:b/>
          <w:i w:val="0"/>
          <w:color w:val="3A343C"/>
          <w:sz w:val="50"/>
        </w:rPr>
        <w:t>MUARÉ — Architecture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 xml:space="preserve">Версия: 1.1  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Стиль: модульный монолит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Next.js App Router, React, TypeScript, Tailwind CSS, PostgreSQL, Prisma, Auth.js, Zod, Vitest и Playwright.</w:t>
      </w:r>
    </w:p>
    <w:p>
      <w:pPr>
        <w:spacing w:before="360" w:after="0"/>
        <w:pBdr>
          <w:bottom w:val="single" w:sz="12" w:color="8E7CB0"/>
        </w:pBdr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1. Стек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2. Поток данных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3. Модули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4. Границы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5. Критическая операция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6. Время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7. Безопасность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8. Развёртывание</w:t>
      </w:r>
    </w:p>
    <w:p>
      <w:r>
        <w:br w:type="page"/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Версия: 1.1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Стиль: модульный монолит</w:t>
      </w:r>
    </w:p>
    <w:p>
      <w:pPr>
        <w:pStyle w:val="Heading1"/>
      </w:pPr>
      <w:r>
        <w:t>1. Стек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Next.js App Router, React, TypeScript, Tailwind CSS, PostgreSQL, Prisma, Auth.js, Zod, Vitest и Playwright.</w:t>
      </w:r>
    </w:p>
    <w:p>
      <w:pPr>
        <w:pStyle w:val="Heading1"/>
      </w:pPr>
      <w:r>
        <w:t>2. Поток данных</w:t>
      </w:r>
    </w:p>
    <w:p>
      <w:pPr>
        <w:spacing w:before="80" w:after="160"/>
        <w:ind w:left="432" w:right="432"/>
      </w:pPr>
      <w:r>
        <w:rPr>
          <w:rFonts w:ascii="Courier New" w:hAnsi="Courier New" w:eastAsia="Arial"/>
          <w:b w:val="0"/>
          <w:i w:val="0"/>
          <w:color w:val="3A343C"/>
          <w:sz w:val="17"/>
        </w:rPr>
        <w:t>React Server/Client UI</w:t>
        <w:br/>
        <w:t xml:space="preserve">        ↓</w:t>
        <w:br/>
        <w:t>Server Actions / Route Handlers</w:t>
        <w:br/>
        <w:t xml:space="preserve">        ↓</w:t>
        <w:br/>
        <w:t>Application services + permissions + validation</w:t>
        <w:br/>
        <w:t xml:space="preserve">        ↓</w:t>
        <w:br/>
        <w:t>Prisma transaction</w:t>
        <w:br/>
        <w:t xml:space="preserve">        ↓</w:t>
        <w:br/>
        <w:t>PostgreSQL constraints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Клиентский код не обращается к БД и не определяет бизнес-значимые поля.</w:t>
      </w:r>
    </w:p>
    <w:p>
      <w:pPr>
        <w:pStyle w:val="Heading1"/>
      </w:pPr>
      <w:r>
        <w:t>3. Модули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auth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сессия ADMIN/STAFF;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permissions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роли, организация, назначенный мастер;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catalog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услуги, дополнения и цены;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staff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профили и компетенции;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schedule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циклы, недели и исключения;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availability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свободные интервалы;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booking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заявки, подтверждение, перенос, отмена;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audit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история и безопасные метаданные;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web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публичный сайт и дизайн-система.</w:t>
      </w:r>
    </w:p>
    <w:p>
      <w:pPr>
        <w:pStyle w:val="Heading1"/>
      </w:pPr>
      <w:r>
        <w:t>4. Границы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Route Handler отвечает за транспорт. Сервис — за правила. Репозиторий/Prisma — за запросы. React-компонент — за представление. Проверки разрешений и доступности нельзя размещать только в UI.</w:t>
      </w:r>
    </w:p>
    <w:p>
      <w:pPr>
        <w:pStyle w:val="Heading1"/>
      </w:pPr>
      <w:r>
        <w:t>5. Критическая операция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Создание заявки: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валидировать payload и idempotency key;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получить активную услугу, мастера, настройки и график;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вычислить `endAt`, `occupiedUntil` и цену;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внутри транзакции повторно проверить доступность;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upsert клиента по нормализованному телефону;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создать `PENDING`, позиции, историю и аудит;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3A343C"/>
          <w:sz w:val="22"/>
        </w:rPr>
        <w:t>преобразовать конфликт ограничения БД в `409`.</w:t>
      </w:r>
    </w:p>
    <w:p>
      <w:pPr>
        <w:pStyle w:val="Heading1"/>
      </w:pPr>
      <w:r>
        <w:t>6. Время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Границы дня строятся в `Europe/Moscow`, затем преобразуются в однозначные instants. В БД используются timestamptz. Нельзя рассчитывать смены через локальный timezone сервера.</w:t>
      </w:r>
    </w:p>
    <w:p>
      <w:pPr>
        <w:pStyle w:val="Heading1"/>
      </w:pPr>
      <w:r>
        <w:t>7. Безопасность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Пароли хешируются; secrets доступны только серверу; вход rate-limited; все изменяющие запросы валидируются и проверяют сессию; приватные списки фильтруются в запросе к БД; аудит исключает пароли и токены.</w:t>
      </w:r>
    </w:p>
    <w:p>
      <w:pPr>
        <w:pStyle w:val="Heading1"/>
      </w:pPr>
      <w:r>
        <w:t>8. Развёртывание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Next.js размещается на Vercel, PostgreSQL — управляемый. Production использует `prisma migrate deploy`; seed не запускается автоматически. До релиза обязательны backup, smoke test и план отката.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E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 w:val="0"/>
        <w:i w:val="0"/>
        <w:color w:val="6E6770"/>
        <w:sz w:val="18"/>
      </w:rPr>
      <w:t>MUARÉ ·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color w:val="3A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MUARÉ — Architecture</dc:title>
  <dc:subject>MUARÉ project documentation</dc:subject>
  <dc:creator>MUARÉ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