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160"/>
      </w:pPr>
      <w:r>
        <w:rPr>
          <w:rFonts w:ascii="Arial" w:hAnsi="Arial" w:eastAsia="Arial"/>
          <w:b/>
          <w:i w:val="0"/>
          <w:color w:val="8E7CB0"/>
          <w:sz w:val="24"/>
        </w:rPr>
        <w:t>MUARÉ</w:t>
      </w:r>
    </w:p>
    <w:p>
      <w:pPr>
        <w:spacing w:after="160"/>
      </w:pPr>
      <w:r>
        <w:rPr>
          <w:rFonts w:ascii="Arial" w:hAnsi="Arial" w:eastAsia="Arial"/>
          <w:b/>
          <w:i w:val="0"/>
          <w:color w:val="3A343C"/>
          <w:sz w:val="50"/>
        </w:rPr>
        <w:t>MUARÉ — Business Rules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6E6770"/>
          <w:sz w:val="21"/>
        </w:rPr>
        <w:t xml:space="preserve">Версия: 1.1  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6E6770"/>
          <w:sz w:val="21"/>
        </w:rPr>
        <w:t>Дата: 22.07.2026</w:t>
      </w:r>
    </w:p>
    <w:p>
      <w:pPr>
        <w:spacing w:after="40"/>
      </w:pPr>
      <w:r>
        <w:rPr>
          <w:rFonts w:ascii="Arial" w:hAnsi="Arial" w:eastAsia="Arial"/>
          <w:b w:val="0"/>
          <w:i w:val="0"/>
          <w:color w:val="6E6770"/>
          <w:sz w:val="21"/>
        </w:rPr>
        <w:t xml:space="preserve">BR-001. Клиент отправляет заявку без регистрации.  </w:t>
      </w:r>
    </w:p>
    <w:p>
      <w:pPr>
        <w:spacing w:before="360" w:after="0"/>
        <w:pBdr>
          <w:bottom w:val="single" w:sz="12" w:color="8E7CB0"/>
        </w:pBdr>
      </w:pP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after="60"/>
        <w:ind w:left="0"/>
      </w:pPr>
      <w:r>
        <w:rPr>
          <w:rFonts w:ascii="Arial" w:hAnsi="Arial" w:eastAsia="Arial"/>
          <w:b w:val="0"/>
          <w:i w:val="0"/>
          <w:color w:val="3A343C"/>
          <w:sz w:val="21"/>
        </w:rPr>
        <w:t>1. Идентификация и доступ</w:t>
      </w:r>
    </w:p>
    <w:p>
      <w:pPr>
        <w:spacing w:after="60"/>
        <w:ind w:left="0"/>
      </w:pPr>
      <w:r>
        <w:rPr>
          <w:rFonts w:ascii="Arial" w:hAnsi="Arial" w:eastAsia="Arial"/>
          <w:b w:val="0"/>
          <w:i w:val="0"/>
          <w:color w:val="3A343C"/>
          <w:sz w:val="21"/>
        </w:rPr>
        <w:t>2. Статусы</w:t>
      </w:r>
    </w:p>
    <w:p>
      <w:pPr>
        <w:spacing w:after="60"/>
        <w:ind w:left="0"/>
      </w:pPr>
      <w:r>
        <w:rPr>
          <w:rFonts w:ascii="Arial" w:hAnsi="Arial" w:eastAsia="Arial"/>
          <w:b w:val="0"/>
          <w:i w:val="0"/>
          <w:color w:val="3A343C"/>
          <w:sz w:val="21"/>
        </w:rPr>
        <w:t>3. Время и доступность</w:t>
      </w:r>
    </w:p>
    <w:p>
      <w:pPr>
        <w:spacing w:after="60"/>
        <w:ind w:left="0"/>
      </w:pPr>
      <w:r>
        <w:rPr>
          <w:rFonts w:ascii="Arial" w:hAnsi="Arial" w:eastAsia="Arial"/>
          <w:b w:val="0"/>
          <w:i w:val="0"/>
          <w:color w:val="3A343C"/>
          <w:sz w:val="21"/>
        </w:rPr>
        <w:t>4. Цена и услуги</w:t>
      </w:r>
    </w:p>
    <w:p>
      <w:pPr>
        <w:spacing w:after="60"/>
        <w:ind w:left="0"/>
      </w:pPr>
      <w:r>
        <w:rPr>
          <w:rFonts w:ascii="Arial" w:hAnsi="Arial" w:eastAsia="Arial"/>
          <w:b w:val="0"/>
          <w:i w:val="0"/>
          <w:color w:val="3A343C"/>
          <w:sz w:val="21"/>
        </w:rPr>
        <w:t>5. Целостность</w:t>
      </w:r>
    </w:p>
    <w:p>
      <w:pPr>
        <w:spacing w:after="60"/>
        <w:ind w:left="0"/>
      </w:pPr>
      <w:r>
        <w:rPr>
          <w:rFonts w:ascii="Arial" w:hAnsi="Arial" w:eastAsia="Arial"/>
          <w:b w:val="0"/>
          <w:i w:val="0"/>
          <w:color w:val="3A343C"/>
          <w:sz w:val="21"/>
        </w:rPr>
        <w:t>6. Управление</w:t>
      </w:r>
    </w:p>
    <w:p>
      <w:r>
        <w:br w:type="page"/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Версия: 1.1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Дата: 22.07.2026</w:t>
      </w:r>
    </w:p>
    <w:p>
      <w:pPr>
        <w:pStyle w:val="Heading1"/>
      </w:pPr>
      <w:r>
        <w:t>1. Идентификация и доступ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BR-001. Клиент отправляет заявку без регистрации.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BR-002. Роли системы: `ADMIN` и `STAFF`. Роли `CUSTOMER` нет.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BR-003. Администратор видит все данные студии; мастер — только свои записи.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BR-004. Права проверяются на сервере для каждой защищённой операции.</w:t>
      </w:r>
    </w:p>
    <w:p>
      <w:pPr>
        <w:pStyle w:val="Heading1"/>
      </w:pPr>
      <w:r>
        <w:t>2. Статусы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BR-010. Допустимы `PENDING`, `CONFIRMED`, `COMPLETED`, `CANCELLED`, `NO_SHOW`.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BR-011. Публичная форма всегда создаёт `PENDING`.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BR-012. Только администратор подтверждает заявку после звонка.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BR-013. `PENDING` и `CONFIRMED` блокируют время; остальные статусы не блокируют.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BR-014. Отмена не удаляет запись и должна сохраняться в истории.</w:t>
      </w:r>
    </w:p>
    <w:p>
      <w:pPr>
        <w:pStyle w:val="Heading1"/>
      </w:pPr>
      <w:r>
        <w:t>3. Время и доступность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BR-020. Начала предлагаются с шагом 15 минут.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BR-021. После основной услуги блокируются 15 минут.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BR-022. Процедура и перерыв полностью помещаются в смену.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BR-023. Доступность рассчитывается по запросу из графика, исключений и активных записей.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BR-024. Все даты интерпретируются в `Europe/Moscow`; сервер хранит однозначные моменты времени.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BR-025. Ограничение от текущего времени и горизонт берутся из `OrganizationSettings`.</w:t>
      </w:r>
    </w:p>
    <w:p>
      <w:pPr>
        <w:pStyle w:val="Heading1"/>
      </w:pPr>
      <w:r>
        <w:t>4. Цена и услуги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BR-030. Сервер получает длительность и базовую цену из БД.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BR-031. Клиент не может передать доверенные `endAt`, `occupiedUntil`, цену или статус.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BR-032. Снятие, выравнивание и дизайн меняют цену, но не длительность.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BR-033. Комбинированный визит — одна бронь на 180 минут у одного мастера.</w:t>
      </w:r>
    </w:p>
    <w:p>
      <w:pPr>
        <w:pStyle w:val="Heading1"/>
      </w:pPr>
      <w:r>
        <w:t>5. Целостность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BR-040. Проверка и создание заявки выполняются транзакционно.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BR-041. Пересечение: существующее начало раньше нового `occupiedUntil`, а существующее `occupiedUntil` позже нового начала.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BR-042. Exclusion constraint PostgreSQL запрещает пересечения `PENDING` и `CONFIRMED`.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BR-043. Повтор одного запроса не создаёт дубликат благодаря idempotency key.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BR-044. История и аудит не содержат пароли, токены и секреты.</w:t>
      </w:r>
    </w:p>
    <w:p>
      <w:pPr>
        <w:pStyle w:val="Heading1"/>
      </w:pPr>
      <w:r>
        <w:t>6. Управление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BR-050. Администратор может отменить необработанную заявку и освободить слот.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BR-051. Клиент сообщает об отмене или переносе администратору по телефону.</w:t>
      </w:r>
    </w:p>
    <w:p>
      <w:r>
        <w:rPr>
          <w:rFonts w:ascii="Arial" w:hAnsi="Arial" w:eastAsia="Arial"/>
          <w:b w:val="0"/>
          <w:i w:val="0"/>
          <w:color w:val="3A343C"/>
          <w:sz w:val="22"/>
        </w:rPr>
        <w:t>BR-052. Перенос атомарен: при конфликте старая запись остаётся без изменений.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i w:val="0"/>
        <w:color w:val="6E677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Arial"/>
        <w:b w:val="0"/>
        <w:i w:val="0"/>
        <w:color w:val="6E6770"/>
        <w:sz w:val="18"/>
      </w:rPr>
      <w:t>MUARÉ · BUSINESS RULES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Arial"/>
      <w:color w:val="3A343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8E7CB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8E7CB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8E7CB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MUARÉ — Business Rules</dc:title>
  <dc:subject>MUARÉ project documentation</dc:subject>
  <dc:creator>MUARÉ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