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1f1f1f"/>
        </w:rPr>
      </w:pPr>
      <w:r w:rsidDel="00000000" w:rsidR="00000000" w:rsidRPr="00000000">
        <w:rPr>
          <w:b w:val="1"/>
          <w:color w:val="1f1f1f"/>
          <w:u w:val="single"/>
          <w:rtl w:val="0"/>
        </w:rPr>
        <w:t xml:space="preserve">Plan du cours</w:t>
      </w:r>
      <w:r w:rsidDel="00000000" w:rsidR="00000000" w:rsidRPr="00000000">
        <w:rPr>
          <w:color w:val="1f1f1f"/>
          <w:rtl w:val="0"/>
        </w:rPr>
        <w:t xml:space="preserve"> Quels rapport  existent ils entre changement technique et changement social ? Nous aborderons quelques-unes des réponses à ces questions en examinant notamment la notion de déterminisme technique et des cas de résistance au changement technique.</w:t>
      </w:r>
    </w:p>
    <w:p w:rsidR="00000000" w:rsidDel="00000000" w:rsidP="00000000" w:rsidRDefault="00000000" w:rsidRPr="00000000" w14:paraId="00000002">
      <w:pPr>
        <w:pageBreakBefore w:val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color w:val="1f1f1f"/>
          <w:u w:val="single"/>
        </w:rPr>
      </w:pPr>
      <w:r w:rsidDel="00000000" w:rsidR="00000000" w:rsidRPr="00000000">
        <w:rPr>
          <w:b w:val="1"/>
          <w:color w:val="1f1f1f"/>
          <w:u w:val="single"/>
          <w:rtl w:val="0"/>
        </w:rPr>
        <w:t xml:space="preserve">Notre étude :</w:t>
      </w:r>
    </w:p>
    <w:p w:rsidR="00000000" w:rsidDel="00000000" w:rsidP="00000000" w:rsidRDefault="00000000" w:rsidRPr="00000000" w14:paraId="00000004">
      <w:pPr>
        <w:pageBreakBefore w:val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Quand éclate la Révolution de 1848, le machinisme, identifié à la grande industrie britannique et à son paupérisme, suscite toujours de nombreuses inquiétudes. Face à l’impossibilité croissante de dire le refus des machines, les travailleurs et leurs porte-parole imaginent des stratégies alternatives pour en atténuer et en réguler les effets…</w:t>
      </w:r>
    </w:p>
    <w:p w:rsidR="00000000" w:rsidDel="00000000" w:rsidP="00000000" w:rsidRDefault="00000000" w:rsidRPr="00000000" w14:paraId="00000005">
      <w:pPr>
        <w:pageBreakBefore w:val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320" w:line="240" w:lineRule="auto"/>
        <w:jc w:val="center"/>
        <w:rPr>
          <w:b w:val="1"/>
          <w:color w:val="333333"/>
          <w:sz w:val="22"/>
          <w:szCs w:val="22"/>
        </w:rPr>
      </w:pPr>
      <w:bookmarkStart w:colFirst="0" w:colLast="0" w:name="_9n8lp0l7cmh8" w:id="0"/>
      <w:bookmarkEnd w:id="0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Plan de l'article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1f1f1f"/>
          <w:rtl w:val="0"/>
        </w:rPr>
        <w:t xml:space="preserve">Un accès à l’outillage mental : les pétitions de 1848 contre les machines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1f1f1f"/>
          <w:rtl w:val="0"/>
        </w:rPr>
        <w:t xml:space="preserve">Condamner les effets des machines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1f1f1f"/>
          <w:rtl w:val="0"/>
        </w:rPr>
        <w:t xml:space="preserve">L’impossible interdiction des machines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1f1f1f"/>
          <w:rtl w:val="0"/>
        </w:rPr>
        <w:t xml:space="preserve">Comment domestiquer les machines ?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1f1f1f"/>
          <w:rtl w:val="0"/>
        </w:rPr>
        <w:t xml:space="preserve">Conclusion</w:t>
      </w:r>
    </w:p>
    <w:p w:rsidR="00000000" w:rsidDel="00000000" w:rsidP="00000000" w:rsidRDefault="00000000" w:rsidRPr="00000000" w14:paraId="0000000C">
      <w:pPr>
        <w:pageBreakBefore w:val="0"/>
        <w:rPr>
          <w:color w:val="1f1f1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color w:val="1f1f1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Un débat a été ouvert. Aspect sociale des pétitions ouvrières et des démarches citoyennes.</w:t>
      </w:r>
    </w:p>
    <w:p w:rsidR="00000000" w:rsidDel="00000000" w:rsidP="00000000" w:rsidRDefault="00000000" w:rsidRPr="00000000" w14:paraId="0000000F">
      <w:pPr>
        <w:pageBreakBefore w:val="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ab/>
        <w:t xml:space="preserve">Puis, on aborde l’idée que l’aspect de qualité artisanale ne /*prévaut*/ plus à celui des machines. On a en partie à cause du débat, une instauration progressive des machines. Les ouvriers vont alors chercher à diminuer l’impact de ses dernières.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1f1f1f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