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 Atlas of Sound</w:t>
      </w:r>
    </w:p>
    <w:p>
      <w:pPr>
        <w:spacing w:after="260"/>
      </w:pPr>
      <w:r>
        <w:rPr>
          <w:rFonts w:ascii="Arial" w:cs="Arial" w:eastAsia="Arial" w:hAnsi="Arial"/>
          <w:b w:val="false"/>
          <w:bCs w:val="false"/>
          <w:i/>
          <w:iCs/>
          <w:color w:val="6E6252"/>
          <w:sz w:val="24"/>
          <w:szCs w:val="24"/>
        </w:rPr>
        <w:t xml:space="preserve">Clustering 1,941 songs by audio DNA to power a content-based recommendation engine</w:t>
      </w:r>
    </w:p>
    <w:p>
      <w:pPr>
        <w:pStyle w:val="Heading1"/>
      </w:pPr>
      <w:r>
        <w:t xml:space="preserve">Bottom Line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318"/>
          <w:sz w:val="21"/>
          <w:szCs w:val="21"/>
        </w:rPr>
        <w:t xml:space="preserve">K-Means clustering on nine standardized Spotify audio features (danceability, energy, loudness, speechiness, acousticness, instrumentalness, liveness, valence, tempo) splits 1,941 songs into six sonically distinct, genre-associated regions. These regions work: used as a candidate filter ahead of a cosine-similarity ranking, they produce coherent, listenable recommendations — validated end-to-end across a Python notebook, a SQL query layer, and an interactive dashboard, all returning the same numbers.</w:t>
      </w:r>
    </w:p>
    <w:p>
      <w:pPr>
        <w:spacing w:after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318"/>
          <w:sz w:val="21"/>
          <w:szCs w:val="21"/>
        </w:rPr>
        <w:t xml:space="preserve">For a test case (Dua Lipa, “Don’t Start Now”), the recommender's top match scored 0.961 cosine similarity, and all five recommendations landed in the same upbeat, danceable neighborhood — see the demo below.</w:t>
      </w:r>
    </w:p>
    <w:p>
      <w:pPr>
        <w:pStyle w:val="Heading1"/>
      </w:pPr>
      <w:r>
        <w:t xml:space="preserve">The Data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318"/>
          <w:sz w:val="21"/>
          <w:szCs w:val="21"/>
        </w:rPr>
        <w:t xml:space="preserve">Source: a 2,000-track Spotify sample spanning 1998–2020, covering danceability, energy, loudness, speechiness, acousticness, instrumentalness, liveness, valence, tempo, key, mode, genre, and popularity for each track.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A2318"/>
          <w:sz w:val="21"/>
          <w:szCs w:val="21"/>
        </w:rPr>
        <w:t xml:space="preserve">Cleaning: 59 exact duplicate rows removed; 22 tracks with an unlabeled genre field recoded to “Unknown.” Final dataset: 1,941 unique songs.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A2318"/>
          <w:sz w:val="21"/>
          <w:szCs w:val="21"/>
        </w:rPr>
        <w:t xml:space="preserve">Clustering features: the 9 continuous audio-DNA columns listed above, standardized to zero mean / unit variance. Key and mode were excluded — key isn’t meaningfully ordinal, and mode (major/minor) was tested but only split otherwise-identical clusters into near-duplicate pairs.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A2318"/>
          <w:sz w:val="21"/>
          <w:szCs w:val="21"/>
        </w:rPr>
        <w:t xml:space="preserve">Model: K-Means, k=6, chosen by comparing the elbow (inertia) curve and silhouette score across k=2–10. k=6 gave the best silhouette (0.157) of any non-trivial split while remaining musically interpretable.</w:t>
      </w:r>
    </w:p>
    <w:p>
      <w:pPr>
        <w:spacing w:after="200"/>
      </w:pPr>
    </w:p>
    <w:p>
      <w:pPr>
        <w:pStyle w:val="Heading1"/>
      </w:pPr>
      <w:r>
        <w:t xml:space="preserve">Key Findings</w:t>
      </w:r>
    </w:p>
    <w:p>
      <w:pPr>
        <w:pStyle w:val="Heading2"/>
      </w:pPr>
      <w:r>
        <w:t xml:space="preserve">Six sonic regions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318"/>
          <w:sz w:val="21"/>
          <w:szCs w:val="21"/>
        </w:rPr>
        <w:t xml:space="preserve">Each region has a distinct audio signature — from upbeat, high-valence “Feel-Good Dance-Pop” (a third of the catalog) to a small, sharply distinct “Instrumental/Electronic” pocket (1.5%, defined by instrumentalness averaging 0.67 vs. ≤0.01 elsewhere):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440"/>
        <w:gridCol w:w="1100"/>
        <w:gridCol w:w="1100"/>
        <w:gridCol w:w="116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203B2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203B2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catalog</w:t>
            </w:r>
          </w:p>
        </w:tc>
        <w:tc>
          <w:tcPr>
            <w:tcW w:type="dxa" w:w="144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203B2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Avg. danceability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203B2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Avg. energy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203B2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Avg. valence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203B2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Avg. popularity</w:t>
            </w:r>
          </w:p>
        </w:tc>
        <w:tc>
          <w:tcPr>
            <w:tcW w:type="dxa" w:w="1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203B2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genre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Feel-Good Dance-Pop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33.5%</w:t>
            </w:r>
          </w:p>
        </w:tc>
        <w:tc>
          <w:tcPr>
            <w:tcW w:type="dxa" w:w="144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0.75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0.76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0.73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58.8</w:t>
            </w:r>
          </w:p>
        </w:tc>
        <w:tc>
          <w:tcPr>
            <w:tcW w:type="dxa" w:w="1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pop (51%)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Moody High-Energy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27.7%</w:t>
            </w:r>
          </w:p>
        </w:tc>
        <w:tc>
          <w:tcPr>
            <w:tcW w:type="dxa" w:w="144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0.57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0.75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0.38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60.9</w:t>
            </w:r>
          </w:p>
        </w:tc>
        <w:tc>
          <w:tcPr>
            <w:tcW w:type="dxa" w:w="1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pop (52%)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Hip-Hop &amp; Rap Forward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13.3%</w:t>
            </w:r>
          </w:p>
        </w:tc>
        <w:tc>
          <w:tcPr>
            <w:tcW w:type="dxa" w:w="144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0.73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0.67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0.57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60.1</w:t>
            </w:r>
          </w:p>
        </w:tc>
        <w:tc>
          <w:tcPr>
            <w:tcW w:type="dxa" w:w="1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hip hop (80%)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Live &amp; Anthemic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12.0%</w:t>
            </w:r>
          </w:p>
        </w:tc>
        <w:tc>
          <w:tcPr>
            <w:tcW w:type="dxa" w:w="144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0.62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0.82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0.61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59.5</w:t>
            </w:r>
          </w:p>
        </w:tc>
        <w:tc>
          <w:tcPr>
            <w:tcW w:type="dxa" w:w="1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pop (47%)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Acoustic &amp; Mellow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11.8%</w:t>
            </w:r>
          </w:p>
        </w:tc>
        <w:tc>
          <w:tcPr>
            <w:tcW w:type="dxa" w:w="144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0.63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0.49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0.38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59.5</w:t>
            </w:r>
          </w:p>
        </w:tc>
        <w:tc>
          <w:tcPr>
            <w:tcW w:type="dxa" w:w="1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pop (58%)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Instrumental/Electronic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1.5%</w:t>
            </w:r>
          </w:p>
        </w:tc>
        <w:tc>
          <w:tcPr>
            <w:tcW w:type="dxa" w:w="144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0.69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0.74</w:t>
            </w:r>
          </w:p>
        </w:tc>
        <w:tc>
          <w:tcPr>
            <w:tcW w:type="dxa" w:w="11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0.53</w:t>
            </w:r>
          </w:p>
        </w:tc>
        <w:tc>
          <w:tcPr>
            <w:tcW w:type="dxa" w:w="116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52.7</w:t>
            </w:r>
          </w:p>
        </w:tc>
        <w:tc>
          <w:tcPr>
            <w:tcW w:type="dxa" w:w="1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pop (50%)</w:t>
            </w:r>
          </w:p>
        </w:tc>
      </w:tr>
    </w:tbl>
    <w:p>
      <w:pPr>
        <w:spacing w:after="160" w:before="2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PCA scatter" descr="Scatter plot of songs projected to 2D via PCA, colored by cluster" title="PCA cluster sc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rFonts w:ascii="Arial" w:cs="Arial" w:eastAsia="Arial" w:hAnsi="Arial"/>
          <w:b w:val="false"/>
          <w:bCs w:val="false"/>
          <w:i/>
          <w:iCs/>
          <w:color w:val="6E6252"/>
          <w:sz w:val="18"/>
          <w:szCs w:val="18"/>
        </w:rPr>
        <w:t xml:space="preserve">Songs projected from the 9 clustering features into two dimensions (PCA). Overlap between neighboring regions reflects a real property of music — genres and moods blend continuously rather than separating into hard clusters.</w:t>
      </w:r>
    </w:p>
    <w:p>
      <w:pPr>
        <w:pStyle w:val="Heading2"/>
      </w:pPr>
      <w:r>
        <w:t xml:space="preserve">Regions track genre — without being genre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318"/>
          <w:sz w:val="21"/>
          <w:szCs w:val="21"/>
        </w:rPr>
        <w:t xml:space="preserve">A chi-square test of independence between cluster assignment and primary genre returned p ≈ 4.8×10⁻⁵¹ — far below any conventional threshold, confirming the audio-only clusters are strongly associated with labeled genre. Hip-Hop &amp; Rap Forward is the most “pure” region (79.5% hip hop, driven by high speechiness), while pop — a stylistically broad label — appears as the top genre in five of the six regions. Clusters are capturing sound, not just re-deriving genre tags.</w:t>
      </w:r>
    </w:p>
    <w:p>
      <w:pPr>
        <w:pStyle w:val="Heading2"/>
      </w:pPr>
      <w:r>
        <w:t xml:space="preserve">Popularity doesn't favor one sound</w:t>
      </w:r>
    </w:p>
    <w:p>
      <w:pPr>
        <w:spacing w:after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318"/>
          <w:sz w:val="21"/>
          <w:szCs w:val="21"/>
        </w:rPr>
        <w:t xml:space="preserve">A one-way ANOVA of popularity across the six regions returned p = 0.32 — not significant. Hit songs aren't concentrated in one sonic neighborhood, which matters for recommendation design: a recommender doesn't need to bias toward one region to surface popular tracks.</w:t>
      </w:r>
    </w:p>
    <w:p>
      <w:pPr>
        <w:pStyle w:val="Heading1"/>
      </w:pPr>
      <w:r>
        <w:t xml:space="preserve">Additional Findings: The Recommender in Action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318"/>
          <w:sz w:val="21"/>
          <w:szCs w:val="21"/>
        </w:rPr>
        <w:t xml:space="preserve">The recommendation engine uses clusters as a candidate filter (a production system would run this as a fast database lookup), then ranks candidates within the seed song's region by cosine similarity across the same 9 audio features. For the seed track Dua Lipa – “Don’t Start Now” (Feel-Good Dance-Pop region):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600"/>
        <w:gridCol w:w="1900"/>
      </w:tblGrid>
      <w:tr>
        <w:trPr>
          <w:cantSplit/>
          <w:tblHeader/>
        </w:trPr>
        <w:tc>
          <w:tcPr>
            <w:tcW w:type="dxa" w:w="7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203B2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203B2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6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203B2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</w:t>
            </w:r>
          </w:p>
        </w:tc>
        <w:tc>
          <w:tcPr>
            <w:tcW w:type="dxa" w:w="19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203B2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Cosine similarity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Loca People - Radio Edit</w:t>
            </w:r>
          </w:p>
        </w:tc>
        <w:tc>
          <w:tcPr>
            <w:tcW w:type="dxa" w:w="26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Sak Noel</w:t>
            </w:r>
          </w:p>
        </w:tc>
        <w:tc>
          <w:tcPr>
            <w:tcW w:type="dxa" w:w="19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0.961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Believer</w:t>
            </w:r>
          </w:p>
        </w:tc>
        <w:tc>
          <w:tcPr>
            <w:tcW w:type="dxa" w:w="26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Imagine Dragons</w:t>
            </w:r>
          </w:p>
        </w:tc>
        <w:tc>
          <w:tcPr>
            <w:tcW w:type="dxa" w:w="19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0.948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Dance Again</w:t>
            </w:r>
          </w:p>
        </w:tc>
        <w:tc>
          <w:tcPr>
            <w:tcW w:type="dxa" w:w="26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Jennifer Lopez</w:t>
            </w:r>
          </w:p>
        </w:tc>
        <w:tc>
          <w:tcPr>
            <w:tcW w:type="dxa" w:w="19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0.935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Lola's Theme - Radio Edit</w:t>
            </w:r>
          </w:p>
        </w:tc>
        <w:tc>
          <w:tcPr>
            <w:tcW w:type="dxa" w:w="26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The Shapeshifters</w:t>
            </w:r>
          </w:p>
        </w:tc>
        <w:tc>
          <w:tcPr>
            <w:tcW w:type="dxa" w:w="19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BF7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0.934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Shout Out to My Ex</w:t>
            </w:r>
          </w:p>
        </w:tc>
        <w:tc>
          <w:tcPr>
            <w:tcW w:type="dxa" w:w="26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Little Mix</w:t>
            </w:r>
          </w:p>
        </w:tc>
        <w:tc>
          <w:tcPr>
            <w:tcW w:type="dxa" w:w="1900"/>
            <w:tcBorders>
              <w:top w:val="single" w:color="DED1B4" w:sz="2"/>
              <w:left w:val="single" w:color="DED1B4" w:sz="2"/>
              <w:bottom w:val="single" w:color="DED1B4" w:sz="2"/>
              <w:right w:val="single" w:color="DED1B4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318"/>
                <w:sz w:val="19"/>
                <w:szCs w:val="19"/>
              </w:rPr>
              <w:t xml:space="preserve">0.916</w:t>
            </w:r>
          </w:p>
        </w:tc>
      </w:tr>
    </w:tbl>
    <w:p>
      <w:pPr>
        <w:spacing w:after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318"/>
          <w:sz w:val="21"/>
          <w:szCs w:val="21"/>
        </w:rPr>
        <w:t xml:space="preserve">The SQL implementation (a min-max-normalized Euclidean-distance approximation, since exact cosine similarity requires the standardized feature space computed in Python) independently returns 3 of these same 5 tracks in its top 5 — cross-validating the recommendation logic across two different computational layers.</w:t>
      </w:r>
    </w:p>
    <w:p>
      <w:pPr>
        <w:pStyle w:val="Heading1"/>
      </w:pPr>
      <w:r>
        <w:t xml:space="preserve">Limitations &amp; Caveats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A2318"/>
          <w:sz w:val="21"/>
          <w:szCs w:val="21"/>
        </w:rPr>
        <w:t xml:space="preserve">Modest silhouette score (0.157): real music doesn't separate into hard clusters, so region boundaries are soft and some tracks sit ambiguously between regions — visible as overlap in the PCA scatter above.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A2318"/>
          <w:sz w:val="21"/>
          <w:szCs w:val="21"/>
        </w:rPr>
        <w:t xml:space="preserve">Content-based only: this recommender uses audio features exclusively. It has no signal from listening history, skips, likes, or co-listening patterns, all of which meaningfully improve real-world recommenders.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A2318"/>
          <w:sz w:val="21"/>
          <w:szCs w:val="21"/>
        </w:rPr>
        <w:t xml:space="preserve">Genre is self-reported and multi-label in the source data; “primary genre” here is simplified to the first listed tag, which can understate an artist's stylistic range.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A2318"/>
          <w:sz w:val="21"/>
          <w:szCs w:val="21"/>
        </w:rPr>
        <w:t xml:space="preserve">No live user evaluation: recommendation quality here is judged by audio-feature coherence, not by measured user satisfaction, click-through, or listening completion — the standard yardsticks for production recommenders.</w:t>
      </w:r>
    </w:p>
    <w:p>
      <w:pPr>
        <w:spacing w:after="200"/>
      </w:pPr>
    </w:p>
    <w:p>
      <w:pPr>
        <w:pStyle w:val="Heading1"/>
      </w:pPr>
      <w:r>
        <w:t xml:space="preserve">Recommendation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318"/>
          <w:sz w:val="21"/>
          <w:szCs w:val="21"/>
        </w:rPr>
        <w:t xml:space="preserve">Treat these 6 regions as the candidate-generation layer of a two-stage recommender: use cluster membership to cheaply narrow a large catalog (as demonstrated in the SQL query layer), then re-rank within-cluster candidates by audio similarity for the final list (as demonstrated in the notebook and dashboard). Before shipping to users, layer in collaborative-filtering signals — co-listening, skip rates, playlist co-occurrence — once interaction data is available; audio similarity alone is a strong cold-start solution but a weaker long-run signal than behavioral data.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E6252"/>
        <w:sz w:val="16"/>
        <w:szCs w:val="16"/>
      </w:rPr>
      <w:t xml:space="preserve">Page </w:t>
    </w:r>
    <w:r>
      <w:rPr>
        <w:rFonts w:ascii="Arial" w:cs="Arial" w:eastAsia="Arial" w:hAnsi="Arial"/>
        <w:color w:val="6E62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D1B4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6E6252"/>
        <w:sz w:val="16"/>
        <w:szCs w:val="16"/>
      </w:rPr>
      <w:t xml:space="preserve">AN ATLAS OF SOUND</w:t>
    </w:r>
    <w:r>
      <w:rPr>
        <w:rFonts w:ascii="Arial" w:cs="Arial" w:eastAsia="Arial" w:hAnsi="Arial"/>
        <w:color w:val="6E6252"/>
        <w:sz w:val="16"/>
        <w:szCs w:val="16"/>
      </w:rPr>
      <w:t xml:space="preserve">	Song Clustering &amp; Recommendation —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3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i/>
      <w:iCs/>
      <w:color w:val="2A2318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DED1B4" w:sz="6" w:space="4"/>
      </w:pBdr>
      <w:spacing w:after="160" w:before="380"/>
      <w:outlineLvl w:val="0"/>
    </w:pPr>
    <w:rPr>
      <w:rFonts w:ascii="Arial" w:cs="Arial" w:eastAsia="Arial" w:hAnsi="Arial"/>
      <w:b/>
      <w:bCs/>
      <w:color w:val="203B2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A23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e33c28dfadaa7463d1418e0e28b97df30162a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2026-07-01T03:19:01.569Z</dcterms:created>
  <dcterms:modified xsi:type="dcterms:W3CDTF">2026-07-01T03:19:01.570Z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