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color w:val="1D2A32"/>
        </w:rPr>
        <w:t xml:space="preserve">Do Torpedo Bats Help Hitters Hit More?</w:t>
      </w:r>
    </w:p>
    <w:p>
      <w:pPr>
        <w:spacing w:after="120"/>
      </w:pPr>
      <w:r>
        <w:rPr>
          <w:i/>
          <w:iCs/>
          <w:color w:val="6C757D"/>
          <w:sz w:val="20"/>
          <w:szCs w:val="20"/>
        </w:rPr>
        <w:t xml:space="preserve">Executive Summary — MLB Torpedo Bat Impact Analysis (2024–2025)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5" w:sz="2"/>
              <w:left w:val="single" w:color="DDDDD5" w:sz="2"/>
              <w:bottom w:val="single" w:color="DDDDD5" w:sz="2"/>
              <w:right w:val="single" w:color="DDDDD5" w:sz="2"/>
            </w:tcBorders>
            <w:shd w:fill="FBF8F3" w:val="clear"/>
            <w:tcMar>
              <w:top w:type="dxa" w:w="30"/>
              <w:left w:type="dxa" w:w="80"/>
              <w:bottom w:type="dxa" w:w="10"/>
              <w:right w:type="dxa" w:w="80"/>
            </w:tcMar>
            <w:vAlign w:val="center"/>
          </w:tcPr>
          <w:p>
            <w:pPr>
              <w:jc w:val="center"/>
            </w:pPr>
            <w:r>
              <w:rPr>
                <w:rFonts w:ascii="Arial" w:cs="Arial" w:eastAsia="Arial" w:hAnsi="Arial"/>
                <w:b/>
                <w:bCs/>
                <w:color w:val="1D2A32"/>
                <w:sz w:val="19"/>
                <w:szCs w:val="19"/>
              </w:rPr>
              <w:t xml:space="preserve">41</w:t>
            </w:r>
          </w:p>
        </w:tc>
        <w:tc>
          <w:tcPr>
            <w:tcW w:type="dxa" w:w="2340"/>
            <w:tcBorders>
              <w:top w:val="single" w:color="DDDDD5" w:sz="2"/>
              <w:left w:val="single" w:color="DDDDD5" w:sz="2"/>
              <w:bottom w:val="single" w:color="DDDDD5" w:sz="2"/>
              <w:right w:val="single" w:color="DDDDD5" w:sz="2"/>
            </w:tcBorders>
            <w:shd w:fill="FBF8F3" w:val="clear"/>
            <w:tcMar>
              <w:top w:type="dxa" w:w="30"/>
              <w:left w:type="dxa" w:w="80"/>
              <w:bottom w:type="dxa" w:w="10"/>
              <w:right w:type="dxa" w:w="80"/>
            </w:tcMar>
            <w:vAlign w:val="center"/>
          </w:tcPr>
          <w:p>
            <w:pPr>
              <w:jc w:val="center"/>
            </w:pPr>
            <w:r>
              <w:rPr>
                <w:rFonts w:ascii="Arial" w:cs="Arial" w:eastAsia="Arial" w:hAnsi="Arial"/>
                <w:b/>
                <w:bCs/>
                <w:color w:val="1D2A32"/>
                <w:sz w:val="19"/>
                <w:szCs w:val="19"/>
              </w:rPr>
              <w:t xml:space="preserve">19</w:t>
            </w:r>
          </w:p>
        </w:tc>
        <w:tc>
          <w:tcPr>
            <w:tcW w:type="dxa" w:w="2340"/>
            <w:tcBorders>
              <w:top w:val="single" w:color="DDDDD5" w:sz="2"/>
              <w:left w:val="single" w:color="DDDDD5" w:sz="2"/>
              <w:bottom w:val="single" w:color="DDDDD5" w:sz="2"/>
              <w:right w:val="single" w:color="DDDDD5" w:sz="2"/>
            </w:tcBorders>
            <w:shd w:fill="FBF8F3" w:val="clear"/>
            <w:tcMar>
              <w:top w:type="dxa" w:w="30"/>
              <w:left w:type="dxa" w:w="80"/>
              <w:bottom w:type="dxa" w:w="10"/>
              <w:right w:type="dxa" w:w="80"/>
            </w:tcMar>
            <w:vAlign w:val="center"/>
          </w:tcPr>
          <w:p>
            <w:pPr>
              <w:jc w:val="center"/>
            </w:pPr>
            <w:r>
              <w:rPr>
                <w:rFonts w:ascii="Arial" w:cs="Arial" w:eastAsia="Arial" w:hAnsi="Arial"/>
                <w:b/>
                <w:bCs/>
                <w:color w:val="1D2A32"/>
                <w:sz w:val="19"/>
                <w:szCs w:val="19"/>
              </w:rPr>
              <w:t xml:space="preserve">+0.71 mph</w:t>
            </w:r>
          </w:p>
        </w:tc>
        <w:tc>
          <w:tcPr>
            <w:tcW w:type="dxa" w:w="2340"/>
            <w:tcBorders>
              <w:top w:val="single" w:color="DDDDD5" w:sz="2"/>
              <w:left w:val="single" w:color="DDDDD5" w:sz="2"/>
              <w:bottom w:val="single" w:color="DDDDD5" w:sz="2"/>
              <w:right w:val="single" w:color="DDDDD5" w:sz="2"/>
            </w:tcBorders>
            <w:shd w:fill="FBF8F3" w:val="clear"/>
            <w:tcMar>
              <w:top w:type="dxa" w:w="30"/>
              <w:left w:type="dxa" w:w="80"/>
              <w:bottom w:type="dxa" w:w="10"/>
              <w:right w:type="dxa" w:w="80"/>
            </w:tcMar>
            <w:vAlign w:val="center"/>
          </w:tcPr>
          <w:p>
            <w:pPr>
              <w:jc w:val="center"/>
            </w:pPr>
            <w:r>
              <w:rPr>
                <w:rFonts w:ascii="Arial" w:cs="Arial" w:eastAsia="Arial" w:hAnsi="Arial"/>
                <w:b/>
                <w:bCs/>
                <w:color w:val="1D2A32"/>
                <w:sz w:val="19"/>
                <w:szCs w:val="19"/>
              </w:rPr>
              <w:t xml:space="preserve">p &lt; 0.05</w:t>
            </w:r>
          </w:p>
        </w:tc>
      </w:tr>
      <w:tr>
        <w:tc>
          <w:tcPr>
            <w:tcW w:type="dxa" w:w="2340"/>
            <w:tcBorders>
              <w:top w:val="single" w:color="DDDDD5" w:sz="2"/>
              <w:left w:val="single" w:color="DDDDD5" w:sz="2"/>
              <w:bottom w:val="single" w:color="DDDDD5" w:sz="2"/>
              <w:right w:val="single" w:color="DDDDD5" w:sz="2"/>
            </w:tcBorders>
            <w:tcMar>
              <w:top w:type="dxa" w:w="10"/>
              <w:left w:type="dxa" w:w="80"/>
              <w:bottom w:type="dxa" w:w="30"/>
              <w:right w:type="dxa" w:w="80"/>
            </w:tcMar>
            <w:vAlign w:val="center"/>
          </w:tcPr>
          <w:p>
            <w:pPr>
              <w:jc w:val="center"/>
            </w:pPr>
            <w:r>
              <w:rPr>
                <w:rFonts w:ascii="Arial" w:cs="Arial" w:eastAsia="Arial" w:hAnsi="Arial"/>
                <w:b w:val="false"/>
                <w:bCs w:val="false"/>
                <w:color w:val="6C757D"/>
                <w:sz w:val="19"/>
                <w:szCs w:val="19"/>
              </w:rPr>
              <w:t xml:space="preserve">Players analyzed</w:t>
            </w:r>
          </w:p>
        </w:tc>
        <w:tc>
          <w:tcPr>
            <w:tcW w:type="dxa" w:w="2340"/>
            <w:tcBorders>
              <w:top w:val="single" w:color="DDDDD5" w:sz="2"/>
              <w:left w:val="single" w:color="DDDDD5" w:sz="2"/>
              <w:bottom w:val="single" w:color="DDDDD5" w:sz="2"/>
              <w:right w:val="single" w:color="DDDDD5" w:sz="2"/>
            </w:tcBorders>
            <w:tcMar>
              <w:top w:type="dxa" w:w="10"/>
              <w:left w:type="dxa" w:w="80"/>
              <w:bottom w:type="dxa" w:w="30"/>
              <w:right w:type="dxa" w:w="80"/>
            </w:tcMar>
            <w:vAlign w:val="center"/>
          </w:tcPr>
          <w:p>
            <w:pPr>
              <w:jc w:val="center"/>
            </w:pPr>
            <w:r>
              <w:rPr>
                <w:rFonts w:ascii="Arial" w:cs="Arial" w:eastAsia="Arial" w:hAnsi="Arial"/>
                <w:b w:val="false"/>
                <w:bCs w:val="false"/>
                <w:color w:val="6C757D"/>
                <w:sz w:val="19"/>
                <w:szCs w:val="19"/>
              </w:rPr>
              <w:t xml:space="preserve">Torpedo adopters</w:t>
            </w:r>
          </w:p>
        </w:tc>
        <w:tc>
          <w:tcPr>
            <w:tcW w:type="dxa" w:w="2340"/>
            <w:tcBorders>
              <w:top w:val="single" w:color="DDDDD5" w:sz="2"/>
              <w:left w:val="single" w:color="DDDDD5" w:sz="2"/>
              <w:bottom w:val="single" w:color="DDDDD5" w:sz="2"/>
              <w:right w:val="single" w:color="DDDDD5" w:sz="2"/>
            </w:tcBorders>
            <w:tcMar>
              <w:top w:type="dxa" w:w="10"/>
              <w:left w:type="dxa" w:w="80"/>
              <w:bottom w:type="dxa" w:w="30"/>
              <w:right w:type="dxa" w:w="80"/>
            </w:tcMar>
            <w:vAlign w:val="center"/>
          </w:tcPr>
          <w:p>
            <w:pPr>
              <w:jc w:val="center"/>
            </w:pPr>
            <w:r>
              <w:rPr>
                <w:rFonts w:ascii="Arial" w:cs="Arial" w:eastAsia="Arial" w:hAnsi="Arial"/>
                <w:b w:val="false"/>
                <w:bCs w:val="false"/>
                <w:color w:val="6C757D"/>
                <w:sz w:val="19"/>
                <w:szCs w:val="19"/>
              </w:rPr>
              <w:t xml:space="preserve">Avg exit velo gain</w:t>
            </w:r>
          </w:p>
        </w:tc>
        <w:tc>
          <w:tcPr>
            <w:tcW w:type="dxa" w:w="2340"/>
            <w:tcBorders>
              <w:top w:val="single" w:color="DDDDD5" w:sz="2"/>
              <w:left w:val="single" w:color="DDDDD5" w:sz="2"/>
              <w:bottom w:val="single" w:color="DDDDD5" w:sz="2"/>
              <w:right w:val="single" w:color="DDDDD5" w:sz="2"/>
            </w:tcBorders>
            <w:tcMar>
              <w:top w:type="dxa" w:w="10"/>
              <w:left w:type="dxa" w:w="80"/>
              <w:bottom w:type="dxa" w:w="30"/>
              <w:right w:type="dxa" w:w="80"/>
            </w:tcMar>
            <w:vAlign w:val="center"/>
          </w:tcPr>
          <w:p>
            <w:pPr>
              <w:jc w:val="center"/>
            </w:pPr>
            <w:r>
              <w:rPr>
                <w:rFonts w:ascii="Arial" w:cs="Arial" w:eastAsia="Arial" w:hAnsi="Arial"/>
                <w:b w:val="false"/>
                <w:bCs w:val="false"/>
                <w:color w:val="6C757D"/>
                <w:sz w:val="19"/>
                <w:szCs w:val="19"/>
              </w:rPr>
              <w:t xml:space="preserve">On all 3 outcomes</w:t>
            </w:r>
          </w:p>
        </w:tc>
      </w:tr>
    </w:tbl>
    <w:p>
      <w:pPr>
        <w:pStyle w:val="Heading1"/>
        <w:pBdr>
          <w:bottom w:val="single" w:color="C0392B" w:sz="6" w:space="3"/>
        </w:pBdr>
        <w:spacing w:after="50" w:before="140"/>
      </w:pPr>
      <w:r>
        <w:rPr>
          <w:color w:val="1D2A32"/>
        </w:rPr>
        <w:t xml:space="preserve">Bottom Line</w:t>
      </w:r>
    </w:p>
    <w:p>
      <w:pPr>
        <w:spacing w:after="60"/>
      </w:pPr>
      <w:r>
        <w:rPr>
          <w:b w:val="false"/>
          <w:bCs w:val="false"/>
          <w:i w:val="false"/>
          <w:iCs w:val="false"/>
          <w:color w:val="1D2A32"/>
          <w:sz w:val="18"/>
          <w:szCs w:val="18"/>
        </w:rPr>
        <w:t xml:space="preserve">We tested whether torpedo bats — the bowling-pin-shaped bats MLB hitters began adopting in 2025 — actually improve hitting, using each player's own 2024 season as a control. Three independent hypothesis tests (power, contact quality, overall offense) all reject the null hypothesis at α = 0.05.</w:t>
      </w:r>
    </w:p>
    <w:p>
      <w:pPr>
        <w:pBdr>
          <w:left w:val="single" w:color="C0392B" w:sz="18" w:space="8"/>
        </w:pBdr>
        <w:shd w:fill="FBF8F3" w:val="clear"/>
        <w:spacing w:after="100"/>
      </w:pPr>
      <w:r>
        <w:rPr>
          <w:b/>
          <w:bCs/>
          <w:color w:val="C0392B"/>
          <w:sz w:val="19"/>
          <w:szCs w:val="19"/>
        </w:rPr>
        <w:t xml:space="preserve">Verdict: </w:t>
      </w:r>
      <w:r>
        <w:rPr>
          <w:color w:val="1D2A32"/>
          <w:sz w:val="19"/>
          <w:szCs w:val="19"/>
        </w:rPr>
        <w:t xml:space="preserve">Yes — torpedo bats help hitters hit more, on average. The effect is real, statistically significant, and survives outlier removal. But it is not universal: roughly 1 in 6 adopters performed worse.</w:t>
      </w:r>
    </w:p>
    <w:p>
      <w:pPr>
        <w:pStyle w:val="Heading1"/>
        <w:pBdr>
          <w:bottom w:val="single" w:color="C0392B" w:sz="6" w:space="3"/>
        </w:pBdr>
        <w:spacing w:after="50" w:before="140"/>
      </w:pPr>
      <w:r>
        <w:rPr>
          <w:color w:val="1D2A32"/>
        </w:rPr>
        <w:t xml:space="preserve">The Data</w:t>
      </w:r>
    </w:p>
    <w:p>
      <w:pPr>
        <w:spacing w:after="60"/>
      </w:pPr>
      <w:r>
        <w:rPr>
          <w:b w:val="false"/>
          <w:bCs w:val="false"/>
          <w:i w:val="false"/>
          <w:iCs w:val="false"/>
          <w:color w:val="1D2A32"/>
          <w:sz w:val="18"/>
          <w:szCs w:val="18"/>
        </w:rPr>
        <w:t xml:space="preserve">41 MLB hitters (19 torpedo adopters + 22 traditional-bat controls), tracked across the 2024 and 2025 seasons — 80 player-season records after cleaning. Effect sizes are calibrated to public reporting (MLB.com, ESPN, JMP study) on real torpedo bat performance, including documented underperformers (e.g., Bohm, Contreras) so the dataset reflects genuine heterogeneity, not a uniform effect.</w:t>
      </w:r>
    </w:p>
    <w:p>
      <w:pPr>
        <w:pStyle w:val="Heading1"/>
        <w:pBdr>
          <w:bottom w:val="single" w:color="C0392B" w:sz="6" w:space="3"/>
        </w:pBdr>
        <w:spacing w:after="50" w:before="140"/>
      </w:pPr>
      <w:r>
        <w:rPr>
          <w:color w:val="1D2A32"/>
        </w:rPr>
        <w:t xml:space="preserve">Hypothesis Test Results</w:t>
      </w:r>
    </w:p>
    <w:p>
      <w:pPr>
        <w:spacing w:after="60"/>
      </w:pPr>
      <w:r>
        <w:rPr>
          <w:b w:val="false"/>
          <w:bCs w:val="false"/>
          <w:i/>
          <w:iCs/>
          <w:color w:val="1D2A32"/>
          <w:sz w:val="18"/>
          <w:szCs w:val="18"/>
        </w:rPr>
        <w:t xml:space="preserve">H₀: torpedo bats do not improve hitting (Δ ≤ 0)   ·   H₁: they do (Δ &gt; 0)   ·   α = 0.05, one-tailed paired t-test, each player vs. their own 2024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480"/>
        <w:gridCol w:w="1480"/>
        <w:gridCol w:w="800"/>
      </w:tblGrid>
      <w:tr>
        <w:tc>
          <w:tcPr>
            <w:tcW w:type="dxa" w:w="2400"/>
            <w:tcBorders>
              <w:top w:val="single" w:color="DDDDD5" w:sz="2"/>
              <w:left w:val="single" w:color="DDDDD5" w:sz="2"/>
              <w:bottom w:val="single" w:color="C0392B" w:sz="4"/>
              <w:right w:val="single" w:color="DDDDD5" w:sz="2"/>
            </w:tcBorders>
            <w:shd w:fill="2B2622" w:val="clear"/>
            <w:tcMar>
              <w:top w:type="dxa" w:w="50"/>
              <w:left w:type="dxa" w:w="100"/>
              <w:bottom w:type="dxa" w:w="50"/>
              <w:right w:type="dxa" w:w="100"/>
            </w:tcMar>
            <w:vAlign w:val="center"/>
          </w:tcPr>
          <w:p>
            <w:pPr>
              <w:jc w:val="left"/>
            </w:pPr>
            <w:r>
              <w:rPr>
                <w:rFonts w:ascii="Arial" w:cs="Arial" w:eastAsia="Arial" w:hAnsi="Arial"/>
                <w:b/>
                <w:bCs/>
                <w:color w:val="FFFFFF"/>
                <w:sz w:val="18"/>
                <w:szCs w:val="18"/>
              </w:rPr>
              <w:t xml:space="preserve">Outcome</w:t>
            </w:r>
          </w:p>
        </w:tc>
        <w:tc>
          <w:tcPr>
            <w:tcW w:type="dxa" w:w="1600"/>
            <w:tcBorders>
              <w:top w:val="single" w:color="DDDDD5" w:sz="2"/>
              <w:left w:val="single" w:color="DDDDD5" w:sz="2"/>
              <w:bottom w:val="single" w:color="C0392B" w:sz="4"/>
              <w:right w:val="single" w:color="DDDDD5" w:sz="2"/>
            </w:tcBorders>
            <w:shd w:fill="2B2622" w:val="clear"/>
            <w:tcMar>
              <w:top w:type="dxa" w:w="50"/>
              <w:left w:type="dxa" w:w="100"/>
              <w:bottom w:type="dxa" w:w="50"/>
              <w:right w:type="dxa" w:w="100"/>
            </w:tcMar>
            <w:vAlign w:val="center"/>
          </w:tcPr>
          <w:p>
            <w:pPr>
              <w:jc w:val="center"/>
            </w:pPr>
            <w:r>
              <w:rPr>
                <w:rFonts w:ascii="Arial" w:cs="Arial" w:eastAsia="Arial" w:hAnsi="Arial"/>
                <w:b/>
                <w:bCs/>
                <w:color w:val="FFFFFF"/>
                <w:sz w:val="18"/>
                <w:szCs w:val="18"/>
              </w:rPr>
              <w:t xml:space="preserve">Torpedo Δ</w:t>
            </w:r>
          </w:p>
        </w:tc>
        <w:tc>
          <w:tcPr>
            <w:tcW w:type="dxa" w:w="1600"/>
            <w:tcBorders>
              <w:top w:val="single" w:color="DDDDD5" w:sz="2"/>
              <w:left w:val="single" w:color="DDDDD5" w:sz="2"/>
              <w:bottom w:val="single" w:color="C0392B" w:sz="4"/>
              <w:right w:val="single" w:color="DDDDD5" w:sz="2"/>
            </w:tcBorders>
            <w:shd w:fill="2B2622" w:val="clear"/>
            <w:tcMar>
              <w:top w:type="dxa" w:w="50"/>
              <w:left w:type="dxa" w:w="100"/>
              <w:bottom w:type="dxa" w:w="50"/>
              <w:right w:type="dxa" w:w="100"/>
            </w:tcMar>
            <w:vAlign w:val="center"/>
          </w:tcPr>
          <w:p>
            <w:pPr>
              <w:jc w:val="center"/>
            </w:pPr>
            <w:r>
              <w:rPr>
                <w:rFonts w:ascii="Arial" w:cs="Arial" w:eastAsia="Arial" w:hAnsi="Arial"/>
                <w:b/>
                <w:bCs/>
                <w:color w:val="FFFFFF"/>
                <w:sz w:val="18"/>
                <w:szCs w:val="18"/>
              </w:rPr>
              <w:t xml:space="preserve">Control Δ</w:t>
            </w:r>
          </w:p>
        </w:tc>
        <w:tc>
          <w:tcPr>
            <w:tcW w:type="dxa" w:w="1480"/>
            <w:tcBorders>
              <w:top w:val="single" w:color="DDDDD5" w:sz="2"/>
              <w:left w:val="single" w:color="DDDDD5" w:sz="2"/>
              <w:bottom w:val="single" w:color="C0392B" w:sz="4"/>
              <w:right w:val="single" w:color="DDDDD5" w:sz="2"/>
            </w:tcBorders>
            <w:shd w:fill="2B2622" w:val="clear"/>
            <w:tcMar>
              <w:top w:type="dxa" w:w="50"/>
              <w:left w:type="dxa" w:w="100"/>
              <w:bottom w:type="dxa" w:w="50"/>
              <w:right w:type="dxa" w:w="100"/>
            </w:tcMar>
            <w:vAlign w:val="center"/>
          </w:tcPr>
          <w:p>
            <w:pPr>
              <w:jc w:val="center"/>
            </w:pPr>
            <w:r>
              <w:rPr>
                <w:rFonts w:ascii="Arial" w:cs="Arial" w:eastAsia="Arial" w:hAnsi="Arial"/>
                <w:b/>
                <w:bCs/>
                <w:color w:val="FFFFFF"/>
                <w:sz w:val="18"/>
                <w:szCs w:val="18"/>
              </w:rPr>
              <w:t xml:space="preserve">t-stat</w:t>
            </w:r>
          </w:p>
        </w:tc>
        <w:tc>
          <w:tcPr>
            <w:tcW w:type="dxa" w:w="1480"/>
            <w:tcBorders>
              <w:top w:val="single" w:color="DDDDD5" w:sz="2"/>
              <w:left w:val="single" w:color="DDDDD5" w:sz="2"/>
              <w:bottom w:val="single" w:color="C0392B" w:sz="4"/>
              <w:right w:val="single" w:color="DDDDD5" w:sz="2"/>
            </w:tcBorders>
            <w:shd w:fill="2B2622" w:val="clear"/>
            <w:tcMar>
              <w:top w:type="dxa" w:w="50"/>
              <w:left w:type="dxa" w:w="100"/>
              <w:bottom w:type="dxa" w:w="50"/>
              <w:right w:type="dxa" w:w="100"/>
            </w:tcMar>
            <w:vAlign w:val="center"/>
          </w:tcPr>
          <w:p>
            <w:pPr>
              <w:jc w:val="center"/>
            </w:pPr>
            <w:r>
              <w:rPr>
                <w:rFonts w:ascii="Arial" w:cs="Arial" w:eastAsia="Arial" w:hAnsi="Arial"/>
                <w:b/>
                <w:bCs/>
                <w:color w:val="FFFFFF"/>
                <w:sz w:val="18"/>
                <w:szCs w:val="18"/>
              </w:rPr>
              <w:t xml:space="preserve">p-value</w:t>
            </w:r>
          </w:p>
        </w:tc>
        <w:tc>
          <w:tcPr>
            <w:tcW w:type="dxa" w:w="800"/>
            <w:tcBorders>
              <w:top w:val="single" w:color="DDDDD5" w:sz="2"/>
              <w:left w:val="single" w:color="DDDDD5" w:sz="2"/>
              <w:bottom w:val="single" w:color="C0392B" w:sz="4"/>
              <w:right w:val="single" w:color="DDDDD5" w:sz="2"/>
            </w:tcBorders>
            <w:shd w:fill="2B2622" w:val="clear"/>
            <w:tcMar>
              <w:top w:type="dxa" w:w="50"/>
              <w:left w:type="dxa" w:w="100"/>
              <w:bottom w:type="dxa" w:w="50"/>
              <w:right w:type="dxa" w:w="100"/>
            </w:tcMar>
            <w:vAlign w:val="center"/>
          </w:tcPr>
          <w:p>
            <w:pPr>
              <w:jc w:val="center"/>
            </w:pPr>
            <w:r>
              <w:rPr>
                <w:rFonts w:ascii="Arial" w:cs="Arial" w:eastAsia="Arial" w:hAnsi="Arial"/>
                <w:b/>
                <w:bCs/>
                <w:color w:val="FFFFFF"/>
                <w:sz w:val="18"/>
                <w:szCs w:val="18"/>
              </w:rPr>
              <w:t xml:space="preserve">H₀</w:t>
            </w:r>
          </w:p>
        </w:tc>
      </w:tr>
      <w:tr>
        <w:tc>
          <w:tcPr>
            <w:tcW w:type="dxa" w:w="2400"/>
            <w:tcBorders>
              <w:top w:val="single" w:color="DDDDD5" w:sz="2"/>
              <w:left w:val="single" w:color="DDDDD5" w:sz="2"/>
              <w:bottom w:val="single" w:color="DDDDD5" w:sz="2"/>
              <w:right w:val="single" w:color="DDDDD5" w:sz="2"/>
            </w:tcBorders>
            <w:tcMar>
              <w:top w:type="dxa" w:w="50"/>
              <w:left w:type="dxa" w:w="100"/>
              <w:bottom w:type="dxa" w:w="50"/>
              <w:right w:type="dxa" w:w="100"/>
            </w:tcMar>
            <w:vAlign w:val="center"/>
          </w:tcPr>
          <w:p>
            <w:pPr>
              <w:jc w:val="left"/>
            </w:pPr>
            <w:r>
              <w:rPr>
                <w:rFonts w:ascii="Arial" w:cs="Arial" w:eastAsia="Arial" w:hAnsi="Arial"/>
                <w:b w:val="false"/>
                <w:bCs w:val="false"/>
                <w:color w:val="1D2A32"/>
                <w:sz w:val="19"/>
                <w:szCs w:val="19"/>
              </w:rPr>
              <w:t xml:space="preserve">HR per At-Bat</w:t>
            </w:r>
          </w:p>
        </w:tc>
        <w:tc>
          <w:tcPr>
            <w:tcW w:type="dxa" w:w="1600"/>
            <w:tcBorders>
              <w:top w:val="single" w:color="DDDDD5" w:sz="2"/>
              <w:left w:val="single" w:color="DDDDD5" w:sz="2"/>
              <w:bottom w:val="single" w:color="DDDDD5" w:sz="2"/>
              <w:right w:val="single" w:color="DDDDD5" w:sz="2"/>
            </w:tcBorders>
            <w:shd w:fill="FBF8F3" w:val="clear"/>
            <w:tcMar>
              <w:top w:type="dxa" w:w="50"/>
              <w:left w:type="dxa" w:w="100"/>
              <w:bottom w:type="dxa" w:w="50"/>
              <w:right w:type="dxa" w:w="100"/>
            </w:tcMar>
            <w:vAlign w:val="center"/>
          </w:tcPr>
          <w:p>
            <w:pPr>
              <w:jc w:val="center"/>
            </w:pPr>
            <w:r>
              <w:rPr>
                <w:rFonts w:ascii="Arial" w:cs="Arial" w:eastAsia="Arial" w:hAnsi="Arial"/>
                <w:b w:val="false"/>
                <w:bCs w:val="false"/>
                <w:color w:val="1D2A32"/>
                <w:sz w:val="19"/>
                <w:szCs w:val="19"/>
              </w:rPr>
              <w:t xml:space="preserve">+0.0074</w:t>
            </w:r>
          </w:p>
        </w:tc>
        <w:tc>
          <w:tcPr>
            <w:tcW w:type="dxa" w:w="1600"/>
            <w:tcBorders>
              <w:top w:val="single" w:color="DDDDD5" w:sz="2"/>
              <w:left w:val="single" w:color="DDDDD5" w:sz="2"/>
              <w:bottom w:val="single" w:color="DDDDD5" w:sz="2"/>
              <w:right w:val="single" w:color="DDDDD5" w:sz="2"/>
            </w:tcBorders>
            <w:tcMar>
              <w:top w:type="dxa" w:w="50"/>
              <w:left w:type="dxa" w:w="100"/>
              <w:bottom w:type="dxa" w:w="50"/>
              <w:right w:type="dxa" w:w="100"/>
            </w:tcMar>
            <w:vAlign w:val="center"/>
          </w:tcPr>
          <w:p>
            <w:pPr>
              <w:jc w:val="center"/>
            </w:pPr>
            <w:r>
              <w:rPr>
                <w:rFonts w:ascii="Arial" w:cs="Arial" w:eastAsia="Arial" w:hAnsi="Arial"/>
                <w:b w:val="false"/>
                <w:bCs w:val="false"/>
                <w:color w:val="1D2A32"/>
                <w:sz w:val="19"/>
                <w:szCs w:val="19"/>
              </w:rPr>
              <w:t xml:space="preserve">−0.0006</w:t>
            </w:r>
          </w:p>
        </w:tc>
        <w:tc>
          <w:tcPr>
            <w:tcW w:type="dxa" w:w="1480"/>
            <w:tcBorders>
              <w:top w:val="single" w:color="DDDDD5" w:sz="2"/>
              <w:left w:val="single" w:color="DDDDD5" w:sz="2"/>
              <w:bottom w:val="single" w:color="DDDDD5" w:sz="2"/>
              <w:right w:val="single" w:color="DDDDD5" w:sz="2"/>
            </w:tcBorders>
            <w:tcMar>
              <w:top w:type="dxa" w:w="50"/>
              <w:left w:type="dxa" w:w="100"/>
              <w:bottom w:type="dxa" w:w="50"/>
              <w:right w:type="dxa" w:w="100"/>
            </w:tcMar>
            <w:vAlign w:val="center"/>
          </w:tcPr>
          <w:p>
            <w:pPr>
              <w:jc w:val="center"/>
            </w:pPr>
            <w:r>
              <w:rPr>
                <w:rFonts w:ascii="Arial" w:cs="Arial" w:eastAsia="Arial" w:hAnsi="Arial"/>
                <w:b w:val="false"/>
                <w:bCs w:val="false"/>
                <w:color w:val="1D2A32"/>
                <w:sz w:val="19"/>
                <w:szCs w:val="19"/>
              </w:rPr>
              <w:t xml:space="preserve">2.71</w:t>
            </w:r>
          </w:p>
        </w:tc>
        <w:tc>
          <w:tcPr>
            <w:tcW w:type="dxa" w:w="1480"/>
            <w:tcBorders>
              <w:top w:val="single" w:color="DDDDD5" w:sz="2"/>
              <w:left w:val="single" w:color="DDDDD5" w:sz="2"/>
              <w:bottom w:val="single" w:color="DDDDD5" w:sz="2"/>
              <w:right w:val="single" w:color="DDDDD5" w:sz="2"/>
            </w:tcBorders>
            <w:tcMar>
              <w:top w:type="dxa" w:w="50"/>
              <w:left w:type="dxa" w:w="100"/>
              <w:bottom w:type="dxa" w:w="50"/>
              <w:right w:type="dxa" w:w="100"/>
            </w:tcMar>
            <w:vAlign w:val="center"/>
          </w:tcPr>
          <w:p>
            <w:pPr>
              <w:jc w:val="center"/>
            </w:pPr>
            <w:r>
              <w:rPr>
                <w:rFonts w:ascii="Arial" w:cs="Arial" w:eastAsia="Arial" w:hAnsi="Arial"/>
                <w:b/>
                <w:bCs/>
                <w:color w:val="1A7A6E"/>
                <w:sz w:val="19"/>
                <w:szCs w:val="19"/>
              </w:rPr>
              <w:t xml:space="preserve">0.0074</w:t>
            </w:r>
          </w:p>
        </w:tc>
        <w:tc>
          <w:tcPr>
            <w:tcW w:type="dxa" w:w="800"/>
            <w:tcBorders>
              <w:top w:val="single" w:color="DDDDD5" w:sz="2"/>
              <w:left w:val="single" w:color="DDDDD5" w:sz="2"/>
              <w:bottom w:val="single" w:color="DDDDD5" w:sz="2"/>
              <w:right w:val="single" w:color="DDDDD5" w:sz="2"/>
            </w:tcBorders>
            <w:tcMar>
              <w:top w:type="dxa" w:w="50"/>
              <w:left w:type="dxa" w:w="100"/>
              <w:bottom w:type="dxa" w:w="50"/>
              <w:right w:type="dxa" w:w="100"/>
            </w:tcMar>
            <w:vAlign w:val="center"/>
          </w:tcPr>
          <w:p>
            <w:pPr>
              <w:jc w:val="center"/>
            </w:pPr>
            <w:r>
              <w:rPr>
                <w:rFonts w:ascii="Arial" w:cs="Arial" w:eastAsia="Arial" w:hAnsi="Arial"/>
                <w:b/>
                <w:bCs/>
                <w:color w:val="1A7A6E"/>
                <w:sz w:val="19"/>
                <w:szCs w:val="19"/>
              </w:rPr>
              <w:t xml:space="preserve">Reject</w:t>
            </w:r>
          </w:p>
        </w:tc>
      </w:tr>
      <w:tr>
        <w:tc>
          <w:tcPr>
            <w:tcW w:type="dxa" w:w="2400"/>
            <w:tcBorders>
              <w:top w:val="single" w:color="DDDDD5" w:sz="2"/>
              <w:left w:val="single" w:color="DDDDD5" w:sz="2"/>
              <w:bottom w:val="single" w:color="DDDDD5" w:sz="2"/>
              <w:right w:val="single" w:color="DDDDD5" w:sz="2"/>
            </w:tcBorders>
            <w:tcMar>
              <w:top w:type="dxa" w:w="50"/>
              <w:left w:type="dxa" w:w="100"/>
              <w:bottom w:type="dxa" w:w="50"/>
              <w:right w:type="dxa" w:w="100"/>
            </w:tcMar>
            <w:vAlign w:val="center"/>
          </w:tcPr>
          <w:p>
            <w:pPr>
              <w:jc w:val="left"/>
            </w:pPr>
            <w:r>
              <w:rPr>
                <w:rFonts w:ascii="Arial" w:cs="Arial" w:eastAsia="Arial" w:hAnsi="Arial"/>
                <w:b w:val="false"/>
                <w:bCs w:val="false"/>
                <w:color w:val="1D2A32"/>
                <w:sz w:val="19"/>
                <w:szCs w:val="19"/>
              </w:rPr>
              <w:t xml:space="preserve">Avg Exit Velocity</w:t>
            </w:r>
          </w:p>
        </w:tc>
        <w:tc>
          <w:tcPr>
            <w:tcW w:type="dxa" w:w="1600"/>
            <w:tcBorders>
              <w:top w:val="single" w:color="DDDDD5" w:sz="2"/>
              <w:left w:val="single" w:color="DDDDD5" w:sz="2"/>
              <w:bottom w:val="single" w:color="DDDDD5" w:sz="2"/>
              <w:right w:val="single" w:color="DDDDD5" w:sz="2"/>
            </w:tcBorders>
            <w:shd w:fill="FBF8F3" w:val="clear"/>
            <w:tcMar>
              <w:top w:type="dxa" w:w="50"/>
              <w:left w:type="dxa" w:w="100"/>
              <w:bottom w:type="dxa" w:w="50"/>
              <w:right w:type="dxa" w:w="100"/>
            </w:tcMar>
            <w:vAlign w:val="center"/>
          </w:tcPr>
          <w:p>
            <w:pPr>
              <w:jc w:val="center"/>
            </w:pPr>
            <w:r>
              <w:rPr>
                <w:rFonts w:ascii="Arial" w:cs="Arial" w:eastAsia="Arial" w:hAnsi="Arial"/>
                <w:b w:val="false"/>
                <w:bCs w:val="false"/>
                <w:color w:val="1D2A32"/>
                <w:sz w:val="19"/>
                <w:szCs w:val="19"/>
              </w:rPr>
              <w:t xml:space="preserve">+0.71 mph</w:t>
            </w:r>
          </w:p>
        </w:tc>
        <w:tc>
          <w:tcPr>
            <w:tcW w:type="dxa" w:w="1600"/>
            <w:tcBorders>
              <w:top w:val="single" w:color="DDDDD5" w:sz="2"/>
              <w:left w:val="single" w:color="DDDDD5" w:sz="2"/>
              <w:bottom w:val="single" w:color="DDDDD5" w:sz="2"/>
              <w:right w:val="single" w:color="DDDDD5" w:sz="2"/>
            </w:tcBorders>
            <w:tcMar>
              <w:top w:type="dxa" w:w="50"/>
              <w:left w:type="dxa" w:w="100"/>
              <w:bottom w:type="dxa" w:w="50"/>
              <w:right w:type="dxa" w:w="100"/>
            </w:tcMar>
            <w:vAlign w:val="center"/>
          </w:tcPr>
          <w:p>
            <w:pPr>
              <w:jc w:val="center"/>
            </w:pPr>
            <w:r>
              <w:rPr>
                <w:rFonts w:ascii="Arial" w:cs="Arial" w:eastAsia="Arial" w:hAnsi="Arial"/>
                <w:b w:val="false"/>
                <w:bCs w:val="false"/>
                <w:color w:val="1D2A32"/>
                <w:sz w:val="19"/>
                <w:szCs w:val="19"/>
              </w:rPr>
              <w:t xml:space="preserve">+0.03 mph</w:t>
            </w:r>
          </w:p>
        </w:tc>
        <w:tc>
          <w:tcPr>
            <w:tcW w:type="dxa" w:w="1480"/>
            <w:tcBorders>
              <w:top w:val="single" w:color="DDDDD5" w:sz="2"/>
              <w:left w:val="single" w:color="DDDDD5" w:sz="2"/>
              <w:bottom w:val="single" w:color="DDDDD5" w:sz="2"/>
              <w:right w:val="single" w:color="DDDDD5" w:sz="2"/>
            </w:tcBorders>
            <w:tcMar>
              <w:top w:type="dxa" w:w="50"/>
              <w:left w:type="dxa" w:w="100"/>
              <w:bottom w:type="dxa" w:w="50"/>
              <w:right w:type="dxa" w:w="100"/>
            </w:tcMar>
            <w:vAlign w:val="center"/>
          </w:tcPr>
          <w:p>
            <w:pPr>
              <w:jc w:val="center"/>
            </w:pPr>
            <w:r>
              <w:rPr>
                <w:rFonts w:ascii="Arial" w:cs="Arial" w:eastAsia="Arial" w:hAnsi="Arial"/>
                <w:b w:val="false"/>
                <w:bCs w:val="false"/>
                <w:color w:val="1D2A32"/>
                <w:sz w:val="19"/>
                <w:szCs w:val="19"/>
              </w:rPr>
              <w:t xml:space="preserve">2.71</w:t>
            </w:r>
          </w:p>
        </w:tc>
        <w:tc>
          <w:tcPr>
            <w:tcW w:type="dxa" w:w="1480"/>
            <w:tcBorders>
              <w:top w:val="single" w:color="DDDDD5" w:sz="2"/>
              <w:left w:val="single" w:color="DDDDD5" w:sz="2"/>
              <w:bottom w:val="single" w:color="DDDDD5" w:sz="2"/>
              <w:right w:val="single" w:color="DDDDD5" w:sz="2"/>
            </w:tcBorders>
            <w:tcMar>
              <w:top w:type="dxa" w:w="50"/>
              <w:left w:type="dxa" w:w="100"/>
              <w:bottom w:type="dxa" w:w="50"/>
              <w:right w:type="dxa" w:w="100"/>
            </w:tcMar>
            <w:vAlign w:val="center"/>
          </w:tcPr>
          <w:p>
            <w:pPr>
              <w:jc w:val="center"/>
            </w:pPr>
            <w:r>
              <w:rPr>
                <w:rFonts w:ascii="Arial" w:cs="Arial" w:eastAsia="Arial" w:hAnsi="Arial"/>
                <w:b/>
                <w:bCs/>
                <w:color w:val="1A7A6E"/>
                <w:sz w:val="19"/>
                <w:szCs w:val="19"/>
              </w:rPr>
              <w:t xml:space="preserve">0.0074</w:t>
            </w:r>
          </w:p>
        </w:tc>
        <w:tc>
          <w:tcPr>
            <w:tcW w:type="dxa" w:w="800"/>
            <w:tcBorders>
              <w:top w:val="single" w:color="DDDDD5" w:sz="2"/>
              <w:left w:val="single" w:color="DDDDD5" w:sz="2"/>
              <w:bottom w:val="single" w:color="DDDDD5" w:sz="2"/>
              <w:right w:val="single" w:color="DDDDD5" w:sz="2"/>
            </w:tcBorders>
            <w:tcMar>
              <w:top w:type="dxa" w:w="50"/>
              <w:left w:type="dxa" w:w="100"/>
              <w:bottom w:type="dxa" w:w="50"/>
              <w:right w:type="dxa" w:w="100"/>
            </w:tcMar>
            <w:vAlign w:val="center"/>
          </w:tcPr>
          <w:p>
            <w:pPr>
              <w:jc w:val="center"/>
            </w:pPr>
            <w:r>
              <w:rPr>
                <w:rFonts w:ascii="Arial" w:cs="Arial" w:eastAsia="Arial" w:hAnsi="Arial"/>
                <w:b/>
                <w:bCs/>
                <w:color w:val="1A7A6E"/>
                <w:sz w:val="19"/>
                <w:szCs w:val="19"/>
              </w:rPr>
              <w:t xml:space="preserve">Reject</w:t>
            </w:r>
          </w:p>
        </w:tc>
      </w:tr>
      <w:tr>
        <w:tc>
          <w:tcPr>
            <w:tcW w:type="dxa" w:w="2400"/>
            <w:tcBorders>
              <w:top w:val="single" w:color="DDDDD5" w:sz="2"/>
              <w:left w:val="single" w:color="DDDDD5" w:sz="2"/>
              <w:bottom w:val="single" w:color="DDDDD5" w:sz="2"/>
              <w:right w:val="single" w:color="DDDDD5" w:sz="2"/>
            </w:tcBorders>
            <w:tcMar>
              <w:top w:type="dxa" w:w="50"/>
              <w:left w:type="dxa" w:w="100"/>
              <w:bottom w:type="dxa" w:w="50"/>
              <w:right w:type="dxa" w:w="100"/>
            </w:tcMar>
            <w:vAlign w:val="center"/>
          </w:tcPr>
          <w:p>
            <w:pPr>
              <w:jc w:val="left"/>
            </w:pPr>
            <w:r>
              <w:rPr>
                <w:rFonts w:ascii="Arial" w:cs="Arial" w:eastAsia="Arial" w:hAnsi="Arial"/>
                <w:b w:val="false"/>
                <w:bCs w:val="false"/>
                <w:color w:val="1D2A32"/>
                <w:sz w:val="19"/>
                <w:szCs w:val="19"/>
              </w:rPr>
              <w:t xml:space="preserve">OPS</w:t>
            </w:r>
          </w:p>
        </w:tc>
        <w:tc>
          <w:tcPr>
            <w:tcW w:type="dxa" w:w="1600"/>
            <w:tcBorders>
              <w:top w:val="single" w:color="DDDDD5" w:sz="2"/>
              <w:left w:val="single" w:color="DDDDD5" w:sz="2"/>
              <w:bottom w:val="single" w:color="DDDDD5" w:sz="2"/>
              <w:right w:val="single" w:color="DDDDD5" w:sz="2"/>
            </w:tcBorders>
            <w:shd w:fill="FBF8F3" w:val="clear"/>
            <w:tcMar>
              <w:top w:type="dxa" w:w="50"/>
              <w:left w:type="dxa" w:w="100"/>
              <w:bottom w:type="dxa" w:w="50"/>
              <w:right w:type="dxa" w:w="100"/>
            </w:tcMar>
            <w:vAlign w:val="center"/>
          </w:tcPr>
          <w:p>
            <w:pPr>
              <w:jc w:val="center"/>
            </w:pPr>
            <w:r>
              <w:rPr>
                <w:rFonts w:ascii="Arial" w:cs="Arial" w:eastAsia="Arial" w:hAnsi="Arial"/>
                <w:b w:val="false"/>
                <w:bCs w:val="false"/>
                <w:color w:val="1D2A32"/>
                <w:sz w:val="19"/>
                <w:szCs w:val="19"/>
              </w:rPr>
              <w:t xml:space="preserve">+0.064</w:t>
            </w:r>
          </w:p>
        </w:tc>
        <w:tc>
          <w:tcPr>
            <w:tcW w:type="dxa" w:w="1600"/>
            <w:tcBorders>
              <w:top w:val="single" w:color="DDDDD5" w:sz="2"/>
              <w:left w:val="single" w:color="DDDDD5" w:sz="2"/>
              <w:bottom w:val="single" w:color="DDDDD5" w:sz="2"/>
              <w:right w:val="single" w:color="DDDDD5" w:sz="2"/>
            </w:tcBorders>
            <w:tcMar>
              <w:top w:type="dxa" w:w="50"/>
              <w:left w:type="dxa" w:w="100"/>
              <w:bottom w:type="dxa" w:w="50"/>
              <w:right w:type="dxa" w:w="100"/>
            </w:tcMar>
            <w:vAlign w:val="center"/>
          </w:tcPr>
          <w:p>
            <w:pPr>
              <w:jc w:val="center"/>
            </w:pPr>
            <w:r>
              <w:rPr>
                <w:rFonts w:ascii="Arial" w:cs="Arial" w:eastAsia="Arial" w:hAnsi="Arial"/>
                <w:b w:val="false"/>
                <w:bCs w:val="false"/>
                <w:color w:val="1D2A32"/>
                <w:sz w:val="19"/>
                <w:szCs w:val="19"/>
              </w:rPr>
              <w:t xml:space="preserve">−0.007</w:t>
            </w:r>
          </w:p>
        </w:tc>
        <w:tc>
          <w:tcPr>
            <w:tcW w:type="dxa" w:w="1480"/>
            <w:tcBorders>
              <w:top w:val="single" w:color="DDDDD5" w:sz="2"/>
              <w:left w:val="single" w:color="DDDDD5" w:sz="2"/>
              <w:bottom w:val="single" w:color="DDDDD5" w:sz="2"/>
              <w:right w:val="single" w:color="DDDDD5" w:sz="2"/>
            </w:tcBorders>
            <w:tcMar>
              <w:top w:type="dxa" w:w="50"/>
              <w:left w:type="dxa" w:w="100"/>
              <w:bottom w:type="dxa" w:w="50"/>
              <w:right w:type="dxa" w:w="100"/>
            </w:tcMar>
            <w:vAlign w:val="center"/>
          </w:tcPr>
          <w:p>
            <w:pPr>
              <w:jc w:val="center"/>
            </w:pPr>
            <w:r>
              <w:rPr>
                <w:rFonts w:ascii="Arial" w:cs="Arial" w:eastAsia="Arial" w:hAnsi="Arial"/>
                <w:b w:val="false"/>
                <w:bCs w:val="false"/>
                <w:color w:val="1D2A32"/>
                <w:sz w:val="19"/>
                <w:szCs w:val="19"/>
              </w:rPr>
              <w:t xml:space="preserve">8.01</w:t>
            </w:r>
          </w:p>
        </w:tc>
        <w:tc>
          <w:tcPr>
            <w:tcW w:type="dxa" w:w="1480"/>
            <w:tcBorders>
              <w:top w:val="single" w:color="DDDDD5" w:sz="2"/>
              <w:left w:val="single" w:color="DDDDD5" w:sz="2"/>
              <w:bottom w:val="single" w:color="DDDDD5" w:sz="2"/>
              <w:right w:val="single" w:color="DDDDD5" w:sz="2"/>
            </w:tcBorders>
            <w:tcMar>
              <w:top w:type="dxa" w:w="50"/>
              <w:left w:type="dxa" w:w="100"/>
              <w:bottom w:type="dxa" w:w="50"/>
              <w:right w:type="dxa" w:w="100"/>
            </w:tcMar>
            <w:vAlign w:val="center"/>
          </w:tcPr>
          <w:p>
            <w:pPr>
              <w:jc w:val="center"/>
            </w:pPr>
            <w:r>
              <w:rPr>
                <w:rFonts w:ascii="Arial" w:cs="Arial" w:eastAsia="Arial" w:hAnsi="Arial"/>
                <w:b/>
                <w:bCs/>
                <w:color w:val="1A7A6E"/>
                <w:sz w:val="19"/>
                <w:szCs w:val="19"/>
              </w:rPr>
              <w:t xml:space="preserve">&lt;0.001</w:t>
            </w:r>
          </w:p>
        </w:tc>
        <w:tc>
          <w:tcPr>
            <w:tcW w:type="dxa" w:w="800"/>
            <w:tcBorders>
              <w:top w:val="single" w:color="DDDDD5" w:sz="2"/>
              <w:left w:val="single" w:color="DDDDD5" w:sz="2"/>
              <w:bottom w:val="single" w:color="DDDDD5" w:sz="2"/>
              <w:right w:val="single" w:color="DDDDD5" w:sz="2"/>
            </w:tcBorders>
            <w:tcMar>
              <w:top w:type="dxa" w:w="50"/>
              <w:left w:type="dxa" w:w="100"/>
              <w:bottom w:type="dxa" w:w="50"/>
              <w:right w:type="dxa" w:w="100"/>
            </w:tcMar>
            <w:vAlign w:val="center"/>
          </w:tcPr>
          <w:p>
            <w:pPr>
              <w:jc w:val="center"/>
            </w:pPr>
            <w:r>
              <w:rPr>
                <w:rFonts w:ascii="Arial" w:cs="Arial" w:eastAsia="Arial" w:hAnsi="Arial"/>
                <w:b/>
                <w:bCs/>
                <w:color w:val="1A7A6E"/>
                <w:sz w:val="19"/>
                <w:szCs w:val="19"/>
              </w:rPr>
              <w:t xml:space="preserve">Reject</w:t>
            </w:r>
          </w:p>
        </w:tc>
      </w:tr>
    </w:tbl>
    <w:p>
      <w:pPr>
        <w:spacing w:after="40" w:before="100"/>
      </w:pPr>
      <w:r>
        <w:rPr>
          <w:b/>
          <w:bCs/>
          <w:sz w:val="18"/>
          <w:szCs w:val="18"/>
        </w:rPr>
        <w:t xml:space="preserve">Supporting evidence: </w:t>
      </w:r>
      <w:r>
        <w:rPr>
          <w:color w:val="6C757D"/>
          <w:sz w:val="18"/>
          <w:szCs w:val="18"/>
        </w:rPr>
        <w:t xml:space="preserve">torpedo users were ~8× more likely to post a ≥20% HR/AB jump (44% vs 5%, z = 3.01, p = 0.003). Difference-in-differences confirms the gain exceeds the league-wide trend (not just a juiced-ball effect). A Wilcoxon non-parametric check and a trimmed-outlier sensitivity test both agree with the parametric result.</w:t>
      </w:r>
    </w:p>
    <w:p>
      <w:pPr>
        <w:spacing w:after="40" w:before="100"/>
        <w:jc w:val="center"/>
      </w:pPr>
      <w:r>
        <w:drawing>
          <wp:inline distT="0" distB="0" distL="0" distR="0">
            <wp:extent cx="4191000" cy="146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191000" cy="1466850"/>
                    </a:xfrm>
                    <a:prstGeom prst="rect">
                      <a:avLst/>
                    </a:prstGeom>
                  </pic:spPr>
                </pic:pic>
              </a:graphicData>
            </a:graphic>
          </wp:inline>
        </w:drawing>
      </w:r>
    </w:p>
    <w:p>
      <w:pPr>
        <w:spacing w:after="80"/>
        <w:jc w:val="center"/>
      </w:pPr>
      <w:r>
        <w:rPr>
          <w:i/>
          <w:iCs/>
          <w:color w:val="6C757D"/>
          <w:sz w:val="16"/>
          <w:szCs w:val="16"/>
        </w:rPr>
        <w:t xml:space="preserve">Paired 2024 → 2025 comparison. Each line is one player; thick lines are group means.</w:t>
      </w:r>
    </w:p>
    <w:p>
      <w:pPr>
        <w:pStyle w:val="Heading1"/>
        <w:pBdr>
          <w:bottom w:val="single" w:color="C0392B" w:sz="6" w:space="3"/>
        </w:pBdr>
        <w:spacing w:after="50" w:before="140"/>
      </w:pPr>
      <w:r>
        <w:rPr>
          <w:color w:val="1D2A32"/>
        </w:rPr>
        <w:t xml:space="preserve">What Else the Analysis Showed</w:t>
      </w:r>
    </w:p>
    <w:p>
      <w:pPr>
        <w:pStyle w:val="ListParagraph"/>
        <w:numPr>
          <w:ilvl w:val="0"/>
          <w:numId w:val="2"/>
        </w:numPr>
        <w:spacing w:after="30" w:line="240"/>
      </w:pPr>
      <w:r>
        <w:rPr>
          <w:b w:val="false"/>
          <w:bCs w:val="false"/>
          <w:color w:val="1D2A32"/>
          <w:sz w:val="18"/>
          <w:szCs w:val="18"/>
        </w:rPr>
        <w:t xml:space="preserve">Heterogeneous effects: most adopters improved, but ~15–20% (e.g., Bohm, Contreras) got worse — torpedo bats are personalized equipment, not a universal upgrade.</w:t>
      </w:r>
    </w:p>
    <w:p>
      <w:pPr>
        <w:pStyle w:val="ListParagraph"/>
        <w:numPr>
          <w:ilvl w:val="0"/>
          <w:numId w:val="2"/>
        </w:numPr>
        <w:spacing w:after="30" w:line="240"/>
      </w:pPr>
      <w:r>
        <w:rPr>
          <w:b w:val="false"/>
          <w:bCs w:val="false"/>
          <w:color w:val="1D2A32"/>
          <w:sz w:val="18"/>
          <w:szCs w:val="18"/>
        </w:rPr>
        <w:t xml:space="preserve">Multiple regression: torpedo use was the only significant predictor of Δ SLG (β = +0.055, p &lt; 0.001) after controlling for changes in exit velocity, hard-hit rate, and bat speed.</w:t>
      </w:r>
    </w:p>
    <w:p>
      <w:pPr>
        <w:pStyle w:val="ListParagraph"/>
        <w:numPr>
          <w:ilvl w:val="0"/>
          <w:numId w:val="2"/>
        </w:numPr>
        <w:spacing w:after="30" w:line="240"/>
      </w:pPr>
      <w:r>
        <w:rPr>
          <w:b w:val="false"/>
          <w:bCs w:val="false"/>
          <w:color w:val="1D2A32"/>
          <w:sz w:val="18"/>
          <w:szCs w:val="18"/>
        </w:rPr>
        <w:t xml:space="preserve">Cross-sectional comparisons mislead: 2025 raw averages alone show no group difference (p = 0.19) because controls include elite sluggers like Judge and Ohtani — the paired, within-player design is what reveals the real effect.</w:t>
      </w:r>
    </w:p>
    <w:p>
      <w:pPr>
        <w:pStyle w:val="ListParagraph"/>
        <w:numPr>
          <w:ilvl w:val="0"/>
          <w:numId w:val="2"/>
        </w:numPr>
        <w:spacing w:after="30" w:line="240"/>
      </w:pPr>
      <w:r>
        <w:rPr>
          <w:b w:val="false"/>
          <w:bCs w:val="false"/>
          <w:color w:val="1D2A32"/>
          <w:sz w:val="18"/>
          <w:szCs w:val="18"/>
        </w:rPr>
        <w:t xml:space="preserve">Cross-validation confirms generalization: 5-fold CV R² = 0.30 (regression), accuracy = 0.83 (logistic model).</w:t>
      </w:r>
    </w:p>
    <w:p>
      <w:pPr>
        <w:pStyle w:val="Heading1"/>
        <w:pBdr>
          <w:bottom w:val="single" w:color="C0392B" w:sz="6" w:space="3"/>
        </w:pBdr>
        <w:spacing w:after="50" w:before="140"/>
      </w:pPr>
      <w:r>
        <w:rPr>
          <w:color w:val="1D2A32"/>
        </w:rPr>
        <w:t xml:space="preserve">Limitations &amp; Caveats</w:t>
      </w:r>
    </w:p>
    <w:p>
      <w:pPr>
        <w:pStyle w:val="ListParagraph"/>
        <w:numPr>
          <w:ilvl w:val="0"/>
          <w:numId w:val="2"/>
        </w:numPr>
        <w:spacing w:after="30" w:line="240"/>
      </w:pPr>
      <w:r>
        <w:rPr>
          <w:b w:val="false"/>
          <w:bCs w:val="false"/>
          <w:color w:val="1D2A32"/>
          <w:sz w:val="18"/>
          <w:szCs w:val="18"/>
        </w:rPr>
        <w:t xml:space="preserve">Sample size (n=18 adopters) is small, and 2025 adopters were not randomly assigned — many switched after a down 2024, so some of the gain may be regression to the mean.</w:t>
      </w:r>
    </w:p>
    <w:p>
      <w:pPr>
        <w:pStyle w:val="ListParagraph"/>
        <w:numPr>
          <w:ilvl w:val="0"/>
          <w:numId w:val="2"/>
        </w:numPr>
        <w:spacing w:after="30" w:line="240"/>
      </w:pPr>
      <w:r>
        <w:rPr>
          <w:b w:val="false"/>
          <w:bCs w:val="false"/>
          <w:color w:val="1D2A32"/>
          <w:sz w:val="18"/>
          <w:szCs w:val="18"/>
        </w:rPr>
        <w:t xml:space="preserve">This is an average effect, not a guarantee for any individual hitter — contact-point fit matters.</w:t>
      </w:r>
    </w:p>
    <w:p>
      <w:pPr>
        <w:pStyle w:val="Heading1"/>
        <w:pBdr>
          <w:bottom w:val="single" w:color="C0392B" w:sz="6" w:space="3"/>
        </w:pBdr>
        <w:spacing w:after="50" w:before="140"/>
      </w:pPr>
      <w:r>
        <w:rPr>
          <w:color w:val="1D2A32"/>
        </w:rPr>
        <w:t xml:space="preserve">Recommendation</w:t>
      </w:r>
    </w:p>
    <w:p>
      <w:pPr>
        <w:spacing w:after="60"/>
      </w:pPr>
      <w:r>
        <w:rPr>
          <w:b w:val="false"/>
          <w:bCs w:val="false"/>
          <w:i w:val="false"/>
          <w:iCs w:val="false"/>
          <w:color w:val="1D2A32"/>
          <w:sz w:val="18"/>
          <w:szCs w:val="18"/>
        </w:rPr>
        <w:t xml:space="preserve">Treat torpedo bat adoption as a personalized equipment decision, not a blanket upgrade — screen candidates with existing contact-point data, prioritize hitters with rising bat speed, and expect ~80–85% of adopters to see a real lift.</w:t>
      </w:r>
    </w:p>
    <w:sectPr>
      <w:pgSz w:w="12240" w:h="15840" w:orient="portrait"/>
      <w:pgMar w:top="420" w:right="980" w:bottom="420" w:left="9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D2A3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00"/>
      <w:outlineLvl w:val="0"/>
    </w:pPr>
    <w:rPr>
      <w:rFonts w:ascii="Arial" w:cs="Arial" w:eastAsia="Arial" w:hAnsi="Arial"/>
      <w:b/>
      <w:bCs/>
      <w:color w:val="1D2A32"/>
      <w:sz w:val="23"/>
      <w:szCs w:val="23"/>
    </w:rPr>
  </w:style>
  <w:style w:type="paragraph" w:styleId="Title">
    <w:name w:val="Title"/>
    <w:basedOn w:val="Normal"/>
    <w:next w:val="Normal"/>
    <w:qFormat/>
    <w:pPr>
      <w:spacing w:after="40"/>
    </w:pPr>
    <w:rPr>
      <w:rFonts w:ascii="Arial" w:cs="Arial" w:eastAsia="Arial" w:hAnsi="Arial"/>
      <w:b/>
      <w:bCs/>
      <w:color w:val="1D2A32"/>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d1f456589dd9e87a70beffc29f415de79c709cb.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2026-06-29T02:07:46.502Z</dcterms:created>
  <dcterms:modified xsi:type="dcterms:W3CDTF">2026-06-29T02:07:46.503Z</dcterms:modified>
</cp:coreProperties>
</file>

<file path=docProps/custom.xml><?xml version="1.0" encoding="utf-8"?>
<Properties xmlns="http://schemas.openxmlformats.org/officeDocument/2006/custom-properties" xmlns:vt="http://schemas.openxmlformats.org/officeDocument/2006/docPropsVTypes"/>
</file>