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B71" w:rsidRPr="005E2B71" w:rsidRDefault="005E2B71" w:rsidP="005E2B71">
      <w:pPr>
        <w:spacing w:line="240" w:lineRule="auto"/>
        <w:ind w:left="-1134" w:right="-284"/>
        <w:jc w:val="center"/>
        <w:rPr>
          <w:rFonts w:ascii="Times New Roman" w:hAnsi="Times New Roman" w:cs="Times New Roman"/>
          <w:b/>
          <w:sz w:val="24"/>
          <w:szCs w:val="24"/>
        </w:rPr>
      </w:pPr>
      <w:r w:rsidRPr="005E2B71">
        <w:rPr>
          <w:rFonts w:ascii="Times New Roman" w:hAnsi="Times New Roman" w:cs="Times New Roman"/>
          <w:b/>
          <w:sz w:val="24"/>
          <w:szCs w:val="24"/>
        </w:rPr>
        <w:t>Декларация (уведомление) о рисках, связанных с осуществлением операций на финансовых рынках</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Цель настоящей декларации</w:t>
      </w:r>
      <w:r w:rsidRPr="005E2B71">
        <w:rPr>
          <w:rFonts w:ascii="Times New Roman" w:hAnsi="Times New Roman" w:cs="Times New Roman"/>
          <w:sz w:val="24"/>
          <w:szCs w:val="24"/>
        </w:rPr>
        <w:t xml:space="preserve"> — предоставить инвестору информацию о рисках, связанных с осуществлением операций на рынке ценных бумаг, срочном и валютном рынке, и предупредить о возможных потерях при осуществлении операций на российском фондовом рынке.</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Обращаем внимание инвестора на то, что декларация не раскрывает все возможные риски вследствие разнообразия ситуаций, возникающих на рынке ценных бумаг, срочном и валютном рынке, однако позволит определить приемлемый уровень рисков для себя, реально оценить свои возможности и ответственно подойти к решению вопроса о начале проведения операций на рынке ценных бумаг, срочном и валютном рынке.</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 настоящей декларации под риском при осуществлении операций на рынке ценных бумаг понимается возможность возникновения ситуации, которая может повлечь за собой потерю части или даже всех инвестированных средств.</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При работе на финансовых рынках инвестор неизбежно сталкивается с необходимостью учитывать факторы риска самого различного свойства. Ниже перечислены некоторые из них:</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Системные риски</w:t>
      </w:r>
      <w:r w:rsidRPr="005E2B71">
        <w:rPr>
          <w:rFonts w:ascii="Times New Roman" w:hAnsi="Times New Roman" w:cs="Times New Roman"/>
          <w:sz w:val="24"/>
          <w:szCs w:val="24"/>
        </w:rPr>
        <w:t xml:space="preserve"> - риски, связанные с функционированием системы в целом. Это риск изменения политической ситуации, риск неблагоприятных (с точки зрения существенных условий бизнеса) изменений в российском законодательстве, в частности в области налогообложения или ограничения инвестиций в отдельные отрасли экономики, общий банковский кризис, дефолт, риск резкого падения курса рубля по отношению к основным мировым валютам. Работая на рынке ценных бумаг, вы изначально подвергаетесь системному риску, уровень которого можно считать неснижаемым (по крайней мере, путем диверсификации) при любых ваших вложениях в ценные бумаги.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Инвестирование на российском фондовом рынке связано с более высокой степенью рисков системного характера, чем инвестирование на рынках развитых стран.</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Ценовой риск</w:t>
      </w:r>
      <w:r w:rsidRPr="005E2B71">
        <w:rPr>
          <w:rFonts w:ascii="Times New Roman" w:hAnsi="Times New Roman" w:cs="Times New Roman"/>
          <w:sz w:val="24"/>
          <w:szCs w:val="24"/>
        </w:rPr>
        <w:t> — риск потерь вследствие неблагоприятных изменений цен.</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Риск ликвидности</w:t>
      </w:r>
      <w:r w:rsidRPr="005E2B71">
        <w:rPr>
          <w:rFonts w:ascii="Times New Roman" w:hAnsi="Times New Roman" w:cs="Times New Roman"/>
          <w:sz w:val="24"/>
          <w:szCs w:val="24"/>
        </w:rPr>
        <w:t> — возможность возникновения затруднений при продаже или покупке актива по ожидаемой цене в определенный момент времени.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Риск банкротства эмитента</w:t>
      </w:r>
      <w:r w:rsidRPr="005E2B71">
        <w:rPr>
          <w:rFonts w:ascii="Times New Roman" w:hAnsi="Times New Roman" w:cs="Times New Roman"/>
          <w:sz w:val="24"/>
          <w:szCs w:val="24"/>
        </w:rPr>
        <w:t> — риск возможности наступления неплатежеспособности эмитента ценной бумаги, что приведет к резкому падению цены на такую ценную бумагу (акции) или невозможности погасить ее (долговые ценные бумаги).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Валютный риск</w:t>
      </w:r>
      <w:r w:rsidRPr="005E2B71">
        <w:rPr>
          <w:rFonts w:ascii="Times New Roman" w:hAnsi="Times New Roman" w:cs="Times New Roman"/>
          <w:sz w:val="24"/>
          <w:szCs w:val="24"/>
        </w:rPr>
        <w:t> — риск потерь вследствие неблагоприятных изменений валютных курсов.</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Процентный риск</w:t>
      </w:r>
      <w:r w:rsidRPr="005E2B71">
        <w:rPr>
          <w:rFonts w:ascii="Times New Roman" w:hAnsi="Times New Roman" w:cs="Times New Roman"/>
          <w:sz w:val="24"/>
          <w:szCs w:val="24"/>
        </w:rPr>
        <w:t> — риск потерь из-за негативных изменений процентных ставок.</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Отраслевые риски</w:t>
      </w:r>
      <w:r w:rsidRPr="005E2B71">
        <w:rPr>
          <w:rFonts w:ascii="Times New Roman" w:hAnsi="Times New Roman" w:cs="Times New Roman"/>
          <w:sz w:val="24"/>
          <w:szCs w:val="24"/>
        </w:rPr>
        <w:t> связаны с неблагоприятным функционированием определенной отрасли, что непосредственно сказывается на деятельности занятых в ней компаний, а значит, и на показателях стоимости выпущенных ими ценных бумаг. Часто негативное состояние такой отрасли передается компаниям из других зависимых отраслей.</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Риск неправомерных действий</w:t>
      </w:r>
      <w:r w:rsidRPr="005E2B71">
        <w:rPr>
          <w:rFonts w:ascii="Times New Roman" w:hAnsi="Times New Roman" w:cs="Times New Roman"/>
          <w:sz w:val="24"/>
          <w:szCs w:val="24"/>
        </w:rPr>
        <w:t> в отношении имущества инвестора и охраняемых законом прав инвестора со стороны третьих лиц, включая эмитента, регистратора или депозитария.</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b/>
          <w:sz w:val="24"/>
          <w:szCs w:val="24"/>
        </w:rPr>
        <w:t>Операционный (технический, технологический, кадровый) риск</w:t>
      </w:r>
      <w:r w:rsidRPr="005E2B71">
        <w:rPr>
          <w:rFonts w:ascii="Times New Roman" w:hAnsi="Times New Roman" w:cs="Times New Roman"/>
          <w:sz w:val="24"/>
          <w:szCs w:val="24"/>
        </w:rPr>
        <w:t xml:space="preserve"> - риск прямых или косвенных потерь по причине неисправностей информационных, электрических и иных систем, а также их неадекватности, из-за ошибок, связанных с несовершенством инфраструктуры рынка ценных бумаг, технологий проведения операций, процедур управления, учета и контроля, из-за действий (бездействия) </w:t>
      </w:r>
      <w:r w:rsidRPr="005E2B71">
        <w:rPr>
          <w:rFonts w:ascii="Times New Roman" w:hAnsi="Times New Roman" w:cs="Times New Roman"/>
          <w:sz w:val="24"/>
          <w:szCs w:val="24"/>
        </w:rPr>
        <w:lastRenderedPageBreak/>
        <w:t xml:space="preserve">персонала и сторонних лиц, в результате воздействия внешних событий, а также при использовании систем удаленного доступа. Проведение Торговых и Неторговых операций с использованием систем удаленного доступа </w:t>
      </w:r>
      <w:r w:rsidRPr="005E2B71">
        <w:rPr>
          <w:rFonts w:ascii="Times New Roman" w:hAnsi="Times New Roman" w:cs="Times New Roman"/>
          <w:sz w:val="24"/>
          <w:szCs w:val="24"/>
          <w:u w:val="single"/>
        </w:rPr>
        <w:t>несет следующие дополнительные риски: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совершение третьим лицом от имени инвестора сделок в системах удаленного доступа (в том числе приводящих к убытку для инвестора) в результате получения таким лицом случайным образом или в результате его преднамеренных действий несанкционированного доступа к возможности совершения от имени инвестора таких сделок;</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риск проведения инвестором в системе удаленного доступа операций, несоответствующих его намерениям, по причинам, связанным с недостаточным опытом работы инвестора в конкретной системе удаленного доступа и\или совершением им случайных действий;</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невозможно</w:t>
      </w:r>
      <w:r>
        <w:rPr>
          <w:rFonts w:ascii="Times New Roman" w:hAnsi="Times New Roman" w:cs="Times New Roman"/>
          <w:sz w:val="24"/>
          <w:szCs w:val="24"/>
        </w:rPr>
        <w:t xml:space="preserve">сть направления </w:t>
      </w:r>
      <w:r w:rsidRPr="005E2B71">
        <w:rPr>
          <w:rFonts w:ascii="Times New Roman" w:hAnsi="Times New Roman" w:cs="Times New Roman"/>
          <w:sz w:val="24"/>
          <w:szCs w:val="24"/>
        </w:rPr>
        <w:t>Распорядительных сообщений по причинам технического характера (сбои в работе используемого компьютерного оборудования, программного обеспечения, сетей связи, энергоснабжения и т.п.).</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при одновременном использовании Клиентом двух систем удаленного доступа для подачи Б</w:t>
      </w:r>
      <w:r w:rsidR="006A058F">
        <w:rPr>
          <w:rFonts w:ascii="Times New Roman" w:hAnsi="Times New Roman" w:cs="Times New Roman"/>
          <w:sz w:val="24"/>
          <w:szCs w:val="24"/>
        </w:rPr>
        <w:t>рокеру</w:t>
      </w:r>
      <w:r w:rsidRPr="005E2B71">
        <w:rPr>
          <w:rFonts w:ascii="Times New Roman" w:hAnsi="Times New Roman" w:cs="Times New Roman"/>
          <w:sz w:val="24"/>
          <w:szCs w:val="24"/>
        </w:rPr>
        <w:t xml:space="preserve"> Заявок Клиент подвергается дополнительным рискам, связанным с техническими особенностями функционирования систем удаленного доступа при их совместном применении. Указанные риски состоят в наличии вероятности совершения при определенных условиях в интересах Клиента технически неконтролируемой(</w:t>
      </w:r>
      <w:proofErr w:type="spellStart"/>
      <w:r w:rsidRPr="005E2B71">
        <w:rPr>
          <w:rFonts w:ascii="Times New Roman" w:hAnsi="Times New Roman" w:cs="Times New Roman"/>
          <w:sz w:val="24"/>
          <w:szCs w:val="24"/>
        </w:rPr>
        <w:t>ых</w:t>
      </w:r>
      <w:proofErr w:type="spellEnd"/>
      <w:r w:rsidRPr="005E2B71">
        <w:rPr>
          <w:rFonts w:ascii="Times New Roman" w:hAnsi="Times New Roman" w:cs="Times New Roman"/>
          <w:sz w:val="24"/>
          <w:szCs w:val="24"/>
        </w:rPr>
        <w:t>) Б</w:t>
      </w:r>
      <w:r w:rsidR="006A058F">
        <w:rPr>
          <w:rFonts w:ascii="Times New Roman" w:hAnsi="Times New Roman" w:cs="Times New Roman"/>
          <w:sz w:val="24"/>
          <w:szCs w:val="24"/>
        </w:rPr>
        <w:t>рокером</w:t>
      </w:r>
      <w:r w:rsidRPr="005E2B71">
        <w:rPr>
          <w:rFonts w:ascii="Times New Roman" w:hAnsi="Times New Roman" w:cs="Times New Roman"/>
          <w:sz w:val="24"/>
          <w:szCs w:val="24"/>
        </w:rPr>
        <w:t xml:space="preserve"> сделки(</w:t>
      </w:r>
      <w:proofErr w:type="spellStart"/>
      <w:r w:rsidRPr="005E2B71">
        <w:rPr>
          <w:rFonts w:ascii="Times New Roman" w:hAnsi="Times New Roman" w:cs="Times New Roman"/>
          <w:sz w:val="24"/>
          <w:szCs w:val="24"/>
        </w:rPr>
        <w:t>ок</w:t>
      </w:r>
      <w:proofErr w:type="spellEnd"/>
      <w:r w:rsidRPr="005E2B71">
        <w:rPr>
          <w:rFonts w:ascii="Times New Roman" w:hAnsi="Times New Roman" w:cs="Times New Roman"/>
          <w:sz w:val="24"/>
          <w:szCs w:val="24"/>
        </w:rPr>
        <w:t>), например, покупки ценных бумаг при отсутствии у Клиента денежных средств в необходимом объеме или продажи ценных бумаг, которыми Клиент в момент совершения сделки не располагает, в том числе с нарушением законодательства Российской Федерации, нормативных правовых актов и/или предписаний (распоряжений) федерального органа исполнительной власти по рынку ценных бумаг, а также положений Регламента, включая условия Необеспеченных сделок.</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при подаче Клиентом «Стоп» Заявки через систему удаленного доступа QUIK контроль условий и исполнение Заявки осуществляется сервером системы QUIK, находящимся вне Торговой системы. В связи с этим вероятна ситуация, при которой при наступлении условий «Стоп» Заявки ее исполнение невозможно по техническим причинам, например, в случае сбоя в канале связи либо шлюзе между сервером QUIK и Торговой системой. Использование «Стоп» Заявки также может создавать дополнительные риски, поскольку в данной ситуации происходит изменение позиции пользователя без его непосредственного участия.</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Указанный выше перечень рисков при использовании систем удаленного доступа не является исчерпывающим. Ввиду того, что системы удаленного доступа представляют собой сложные программно-технические комплексы, достижение полного взаимодействия между ними не всегда возможно, могут возникать дополнительные риски, в том числе вызванные изменением разработчиками технических характеристик и условий использования систем.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К операциям, связанным с повышенным риском, относятся сделки, заключаемые с превышением собственных средств (Необеспеченные сделки и Специальные сделки РЕПО, заключаемые в рамках Регламента). В результате совершения Необеспеченных сделок и Специальных сделок РЕПО происходит увеличение размеров вышеперечисленных рисков за счет того, что величина привлеченных средств (денежных средств и/или ценных бумаг) превышает собственные средства инвестора и при неблагоприятном для инвестора изменении рыночных цен объем потерь может сравняться или даже превысить размер средств, принимаемых для расчета Показателей достаточности активов, что приводит к потере части или всех средств (активов) инвестора.</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xml:space="preserve">Наиболее рискованными принято считать спекулятивные операции на рынке срочных и производных финансовых инструментов (фьючерсные контракты, опционы). С одной стороны при совершении сделок </w:t>
      </w:r>
      <w:r w:rsidRPr="005E2B71">
        <w:rPr>
          <w:rFonts w:ascii="Times New Roman" w:hAnsi="Times New Roman" w:cs="Times New Roman"/>
          <w:sz w:val="24"/>
          <w:szCs w:val="24"/>
        </w:rPr>
        <w:lastRenderedPageBreak/>
        <w:t>на срочном рынке инвестор должен иметь в виду, что при неблагоприятной ситуации для занятой им позиции существует вероятность в сравнительно короткий период времени потерять часть или все свои средства, депонированные в виде гарантийного обеспечения. С другой стороны, для поддержания занятой позиции от инвестора может потребоваться внести дополнительные средства (увеличить дополнительное гарантийное обе</w:t>
      </w:r>
      <w:r w:rsidR="00356134">
        <w:rPr>
          <w:rFonts w:ascii="Times New Roman" w:hAnsi="Times New Roman" w:cs="Times New Roman"/>
          <w:sz w:val="24"/>
          <w:szCs w:val="24"/>
        </w:rPr>
        <w:t xml:space="preserve">спечение) значительного размера </w:t>
      </w:r>
      <w:r w:rsidRPr="005E2B71">
        <w:rPr>
          <w:rFonts w:ascii="Times New Roman" w:hAnsi="Times New Roman" w:cs="Times New Roman"/>
          <w:sz w:val="24"/>
          <w:szCs w:val="24"/>
        </w:rPr>
        <w:t>и в короткий срок. При невозможности внести дополнительные средства в установленный срок позиция инвестора может быть принудительно закрыта с убытком и инвестор будет ответственен за любые образовавшиеся при этом потери.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Необходимо учитывать следующие риски получения убытка (включая реальный ущерб, упущенную выгоду и прерывание деловой активности), связанные с использованием специальных программ, генерирующих торговые сигналы</w:t>
      </w:r>
      <w:r w:rsidR="00EE476B">
        <w:rPr>
          <w:rFonts w:ascii="Times New Roman" w:hAnsi="Times New Roman" w:cs="Times New Roman"/>
          <w:sz w:val="24"/>
          <w:szCs w:val="24"/>
        </w:rPr>
        <w:t xml:space="preserve"> </w:t>
      </w:r>
      <w:r w:rsidRPr="005E2B71">
        <w:rPr>
          <w:rFonts w:ascii="Times New Roman" w:hAnsi="Times New Roman" w:cs="Times New Roman"/>
          <w:sz w:val="24"/>
          <w:szCs w:val="24"/>
        </w:rPr>
        <w:t>о покупке/продаже ценных бумаг, в соответствии с заложенным в них алгоритмом, принимая во внимание, что:</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положительные результаты торговых стратегий в прошлом не гарантируют положительных результатов в будущем, данные результаты рассчитываются с учетом определенных допущений: условной брокерской комиссии от оборота, с учетом текущей комиссии за Специальные сделки РЕПО, без учета других возможных расходов и комиссий, дивидендов по акциям; с использованием фиксированных цен сделок, соответствующим последним ценам за предшествующий временной период торгов, зависящий от стратегии, которые могут отличаться от реальных цен сделок по счету каждого Клиента в зависимости от момента исполнения Заявки на сделку.</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результат на конкретном брокерском счете Клиента может отличаться от результата по модельному (теоретическому) портфелю соответствующей стратегии, в том числе в зависимости от первоначального состава и стоимости активов Клиента, в случае самостоятельного совершения Клиентом сделок за счет денежных средств и ценных бумаг, входящих в портфель, в случае эффекта проскальзывания, изменения рыночной ситуации, проявления статистических отклонений и т.п.</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результат на конкретном брокерском счете Клиента может отличаться от результата по модельному (теоретическому) портфелю соответствующей стратегии также в результате технических особенностей функционирования специальных программ, например, исполнение сигналов только в период, когда установлено соединение с сервером системы удаленного доступа, влияния настроек исполнения сигналов, выполненных пользователем, временных задержек на каналах связи и т.п.</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Б</w:t>
      </w:r>
      <w:r w:rsidR="00EE476B">
        <w:rPr>
          <w:rFonts w:ascii="Times New Roman" w:hAnsi="Times New Roman" w:cs="Times New Roman"/>
          <w:sz w:val="24"/>
          <w:szCs w:val="24"/>
        </w:rPr>
        <w:t>рокер</w:t>
      </w:r>
      <w:r w:rsidRPr="005E2B71">
        <w:rPr>
          <w:rFonts w:ascii="Times New Roman" w:hAnsi="Times New Roman" w:cs="Times New Roman"/>
          <w:sz w:val="24"/>
          <w:szCs w:val="24"/>
        </w:rPr>
        <w:t xml:space="preserve"> также уведомляет Инвестора о следующих рисках, связанных с приобретением иностранных ценных бумаг и (или) заключением срочных контрактов, базисным активом которых являются ценные бумаги иностранных эмитентов или индексы, рассчитанные по таким ценным бумагам</w:t>
      </w:r>
    </w:p>
    <w:p w:rsidR="005E2B71" w:rsidRPr="00356134" w:rsidRDefault="005E2B71" w:rsidP="00356134">
      <w:pPr>
        <w:spacing w:line="240" w:lineRule="auto"/>
        <w:ind w:left="-1134" w:right="-284"/>
        <w:jc w:val="center"/>
        <w:rPr>
          <w:rFonts w:ascii="Times New Roman" w:hAnsi="Times New Roman" w:cs="Times New Roman"/>
          <w:b/>
          <w:sz w:val="24"/>
          <w:szCs w:val="24"/>
        </w:rPr>
      </w:pPr>
      <w:r w:rsidRPr="00356134">
        <w:rPr>
          <w:rFonts w:ascii="Times New Roman" w:hAnsi="Times New Roman" w:cs="Times New Roman"/>
          <w:b/>
          <w:sz w:val="24"/>
          <w:szCs w:val="24"/>
        </w:rPr>
        <w:t>Декларация о рисках, связанных с приобретением иностранных ценных бумаг</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Целью настоящей Декларации является предоставление клиенту информации о рисках, связанных с приобретением иностранных ценных бумаг. Иностранные ценные бумаги могут быть приобретены за рубежом или на российском, в том числе организованном, фондовом рынке.</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Операциям с иностранными ценными бумагами присущи общие риски, связанные с операциями на рынке ценных бумаг со следующими особенностями.</w:t>
      </w:r>
    </w:p>
    <w:p w:rsidR="005E2B71" w:rsidRPr="00356134" w:rsidRDefault="005E2B71" w:rsidP="005E2B71">
      <w:pPr>
        <w:spacing w:line="240" w:lineRule="auto"/>
        <w:ind w:left="-1134" w:right="-284"/>
        <w:jc w:val="both"/>
        <w:rPr>
          <w:rFonts w:ascii="Times New Roman" w:hAnsi="Times New Roman" w:cs="Times New Roman"/>
          <w:b/>
          <w:sz w:val="24"/>
          <w:szCs w:val="24"/>
        </w:rPr>
      </w:pPr>
      <w:r w:rsidRPr="00356134">
        <w:rPr>
          <w:rFonts w:ascii="Times New Roman" w:hAnsi="Times New Roman" w:cs="Times New Roman"/>
          <w:b/>
          <w:sz w:val="24"/>
          <w:szCs w:val="24"/>
        </w:rPr>
        <w:t>Системные риски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xml:space="preserve">Применительно к иностранным ценным бумагам системные риски, свойственные российскому фондовому рынку дополняются аналогичными системными рисками, свойственными стране, где выпущены или обращаются соответствующие иностранные ценные бумаги. К основным факторам, влияющим на уровень системного риска в целом, относятся политическая ситуация, особенности национального законодательства, валютного регулирования и вероятность их изменения, состояние </w:t>
      </w:r>
      <w:r w:rsidRPr="005E2B71">
        <w:rPr>
          <w:rFonts w:ascii="Times New Roman" w:hAnsi="Times New Roman" w:cs="Times New Roman"/>
          <w:sz w:val="24"/>
          <w:szCs w:val="24"/>
        </w:rPr>
        <w:lastRenderedPageBreak/>
        <w:t>государственных финансов, наличие и степень развитости финансовой системы страны места нахождения лица, обязанного по иностранной ценной бумаге.</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xml:space="preserve">На уровень системного риска могут оказывать влияние и многие другие факторы, в том числе вероятность введения ограничений на инвестиции в отдельные отрасли экономики или вероятность одномоментной девальвации национальной валюты. Общепринятой интегральной оценкой системного риска инвестиций в иностранную ценную бумагу является «суверенный рейтинг» в иностранной или национальной валюте, присвоенный стране, в которой зарегистрирован эмитент, международными рейтинговыми агентствами </w:t>
      </w:r>
      <w:proofErr w:type="gramStart"/>
      <w:r w:rsidRPr="005E2B71">
        <w:rPr>
          <w:rFonts w:ascii="Times New Roman" w:hAnsi="Times New Roman" w:cs="Times New Roman"/>
          <w:sz w:val="24"/>
          <w:szCs w:val="24"/>
        </w:rPr>
        <w:t>MOODY»S</w:t>
      </w:r>
      <w:proofErr w:type="gramEnd"/>
      <w:r w:rsidRPr="005E2B71">
        <w:rPr>
          <w:rFonts w:ascii="Times New Roman" w:hAnsi="Times New Roman" w:cs="Times New Roman"/>
          <w:sz w:val="24"/>
          <w:szCs w:val="24"/>
        </w:rPr>
        <w:t>, STANDARD &amp; POOR'S, FITCH IBCA, однако следует иметь в виду, что рейтинги являются лишь ориентирами и могут в конкретный момент не соответствовать реальной ситуации.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 случае совершения сделок с иностранными депозитарными расписками помимо рисков, связанных с эмитентом самих расписок, необходимо учитывать и риски, связанные с эмитентом представляемых данными расписками иностранных ценных бумаг.</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 настоящее время законодательство разрешает российскими инвесторами, в том числе не являющимися квалифицированными, приобретение допущенных к публичному размещению и (или) публичному обращению в Российской Федерации иностранных ценных бумаг как за рубежом, так и в России, а также позволяет учет прав на такие ценные бумаги российскими депозитариями. Между тем, существуют риски изменения регулятивных подходов к владению и операциям, а также к учету прав на иностранные финансовые инструменты, в результате чего может возникнуть необходимость по их отчуждению вопреки планам инвестора.</w:t>
      </w:r>
    </w:p>
    <w:p w:rsidR="005E2B71" w:rsidRPr="00356134" w:rsidRDefault="005E2B71" w:rsidP="005E2B71">
      <w:pPr>
        <w:spacing w:line="240" w:lineRule="auto"/>
        <w:ind w:left="-1134" w:right="-284"/>
        <w:jc w:val="both"/>
        <w:rPr>
          <w:rFonts w:ascii="Times New Roman" w:hAnsi="Times New Roman" w:cs="Times New Roman"/>
          <w:b/>
          <w:sz w:val="24"/>
          <w:szCs w:val="24"/>
        </w:rPr>
      </w:pPr>
      <w:r w:rsidRPr="00356134">
        <w:rPr>
          <w:rFonts w:ascii="Times New Roman" w:hAnsi="Times New Roman" w:cs="Times New Roman"/>
          <w:b/>
          <w:sz w:val="24"/>
          <w:szCs w:val="24"/>
        </w:rPr>
        <w:t>Правовые риски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При приобретении иностранных ценных бумаг необходимо отдавать себе отчет в том, что они не всегда являются аналогами российских ценных бумаг. В любом случае, предоставляемые по ним права и правила их осуществления могут существенно отличаться от прав по российским ценным бумагам.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Возможности судебной защиты прав по иностранным ценным бумагам могут быть существенно ограничены необходимостью обращения в зарубежные судебные и правоохранительные органы по установленным правилам, которые могут существенно отличаться от действующих в России. Кроме того, при операциях с иностранными ценными бумагами инвестор в большинстве случаев не сможет полагаться на защиту своих прав и законных интересов российскими уполномоченными органами.</w:t>
      </w:r>
    </w:p>
    <w:p w:rsidR="005E2B71" w:rsidRPr="00356134" w:rsidRDefault="005E2B71" w:rsidP="005E2B71">
      <w:pPr>
        <w:spacing w:line="240" w:lineRule="auto"/>
        <w:ind w:left="-1134" w:right="-284"/>
        <w:jc w:val="both"/>
        <w:rPr>
          <w:rFonts w:ascii="Times New Roman" w:hAnsi="Times New Roman" w:cs="Times New Roman"/>
          <w:b/>
          <w:sz w:val="24"/>
          <w:szCs w:val="24"/>
        </w:rPr>
      </w:pPr>
      <w:r w:rsidRPr="00356134">
        <w:rPr>
          <w:rFonts w:ascii="Times New Roman" w:hAnsi="Times New Roman" w:cs="Times New Roman"/>
          <w:b/>
          <w:sz w:val="24"/>
          <w:szCs w:val="24"/>
        </w:rPr>
        <w:t>Раскрытие информации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Российское законодательство допускает раскрытие информации в отношении иностранных ценных бумаг по правилам, действующим за рубежом, и на английском языке. Инвестор должен оценить свою готовность анализировать информацию на английском языке, а также то, понимает ли он отличия между принятыми в России правилами финансовой отчетности, Международными стандартами финансовой отчетности или правилами финансовой отчетности, по которым публикуется информация эмитентом иностранных ценных бумаг.</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Также российские организаторы торговли и (или) брокеры могут осуществлять перевод некоторых документов (информации), раскрываемых иностранным эмитентом для удобства инвесторов. В этом случае перевод может восприниматься исключительно как вспомогательная информация к официально раскрытым документам (информации) на иностранном языке. Всегда необходимо учитывать вероятность ошибок переводчика, в том числе связанных с возможным различным переводом одних и </w:t>
      </w:r>
      <w:proofErr w:type="gramStart"/>
      <w:r w:rsidRPr="005E2B71">
        <w:rPr>
          <w:rFonts w:ascii="Times New Roman" w:hAnsi="Times New Roman" w:cs="Times New Roman"/>
          <w:sz w:val="24"/>
          <w:szCs w:val="24"/>
        </w:rPr>
        <w:t>тех же иностранных слов</w:t>
      </w:r>
      <w:proofErr w:type="gramEnd"/>
      <w:r w:rsidRPr="005E2B71">
        <w:rPr>
          <w:rFonts w:ascii="Times New Roman" w:hAnsi="Times New Roman" w:cs="Times New Roman"/>
          <w:sz w:val="24"/>
          <w:szCs w:val="24"/>
        </w:rPr>
        <w:t xml:space="preserve"> и фраз или отсутствием общепринятого русского эквивалента.</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lastRenderedPageBreak/>
        <w:t>Декларация о рисках, связанных с заключением договоров, являющихся производными финансовыми инструментами, базисным активом которых являются ценные бумаги иностранных эмитентов или индексы, рассчитанные по таким ценным бумагам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356134">
        <w:rPr>
          <w:rFonts w:ascii="Times New Roman" w:hAnsi="Times New Roman" w:cs="Times New Roman"/>
          <w:b/>
          <w:sz w:val="24"/>
          <w:szCs w:val="24"/>
        </w:rPr>
        <w:t>Цель настоящей Декларации</w:t>
      </w:r>
      <w:r w:rsidRPr="005E2B71">
        <w:rPr>
          <w:rFonts w:ascii="Times New Roman" w:hAnsi="Times New Roman" w:cs="Times New Roman"/>
          <w:sz w:val="24"/>
          <w:szCs w:val="24"/>
        </w:rPr>
        <w:t xml:space="preserve"> — предоставить инвестору общую информацию об основных рисках, связанных с заключением договоров, являющихся производными финансовыми инструментами, базисным активом которых являются ценные бумаги иностранных эмитентов или индексы, рассчитанные по таким ценным бумагам (далее – производные финансовые инструменты с иностранным базисным активом). Заключение указанных договоров связано с рисками, характерными для всех производных финансовых инструментов, а также специфическими рисками, обусловленными иностранным происхождением базисного актива.</w:t>
      </w:r>
    </w:p>
    <w:p w:rsidR="007D0400" w:rsidRDefault="005E2B71" w:rsidP="007D0400">
      <w:pPr>
        <w:spacing w:after="0" w:line="240" w:lineRule="auto"/>
        <w:contextualSpacing/>
        <w:jc w:val="center"/>
        <w:rPr>
          <w:rFonts w:ascii="Times New Roman" w:hAnsi="Times New Roman" w:cs="Times New Roman"/>
          <w:b/>
          <w:sz w:val="24"/>
          <w:szCs w:val="24"/>
        </w:rPr>
      </w:pPr>
      <w:r w:rsidRPr="00356134">
        <w:rPr>
          <w:rFonts w:ascii="Times New Roman" w:hAnsi="Times New Roman" w:cs="Times New Roman"/>
          <w:b/>
          <w:sz w:val="24"/>
          <w:szCs w:val="24"/>
        </w:rPr>
        <w:t>Риски, связанные производными финансовыми инструментами</w:t>
      </w:r>
      <w:r w:rsidR="007D0400">
        <w:rPr>
          <w:rFonts w:ascii="Times New Roman" w:hAnsi="Times New Roman" w:cs="Times New Roman"/>
          <w:b/>
          <w:sz w:val="24"/>
          <w:szCs w:val="24"/>
        </w:rPr>
        <w:t xml:space="preserve"> </w:t>
      </w:r>
    </w:p>
    <w:p w:rsidR="005E2B71" w:rsidRPr="00356134" w:rsidRDefault="007D0400" w:rsidP="007D040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(фьючерсы и опционы)</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Данные инструменты подходят не всем клиентам. Более того, некоторые виды производных финансовых инструментов сопряжены с большим уровнем риска, чем другие. Так, при покупке опционного контракта потери клиента не превысят величину уплаченных премии, вознаграждения и расходов, связанных с их совершением. Продажа опционных контрактов с точки зрения риска клиента и заключение фьючерсных контрактов, форвардных контрактов и своп контрактов сопоставимы — при относительно небольших неблагоприятных колебаниях цен на рынке инвестор подвергается риску значительных убытков, при этом в случае продажи фьючерсных и форвардных контрактов и продажи опционов на покупку (опционов «</w:t>
      </w:r>
      <w:proofErr w:type="spellStart"/>
      <w:r w:rsidRPr="005E2B71">
        <w:rPr>
          <w:rFonts w:ascii="Times New Roman" w:hAnsi="Times New Roman" w:cs="Times New Roman"/>
          <w:sz w:val="24"/>
          <w:szCs w:val="24"/>
        </w:rPr>
        <w:t>колл</w:t>
      </w:r>
      <w:proofErr w:type="spellEnd"/>
      <w:r w:rsidRPr="005E2B71">
        <w:rPr>
          <w:rFonts w:ascii="Times New Roman" w:hAnsi="Times New Roman" w:cs="Times New Roman"/>
          <w:sz w:val="24"/>
          <w:szCs w:val="24"/>
        </w:rPr>
        <w:t>») неограниченных убытков. С учетом этого, совершение сделок по продаже опционных контрактов и заключение фьючерсных и форвардных контрактов может быть рекомендовано только опытным инвесторам, обладающим значительными финансовыми возможностями и практическими знаниями в области применения инвестиционных стратегий.</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Настоящая декларация относится также и к производным финансовым инструментам, направленным на снижение рисков других операций на фондовом рынке. Инвестору необходимо внимательно оценить, как производные финансовые инструменты соотносятся с операциями, риски по которым инвестор намерен ограничить, и убедиться, что объем позиции инвестора на срочном рынке соответствует объему позиции на спот рынке, которую инвестор хеджирует.</w:t>
      </w:r>
    </w:p>
    <w:p w:rsidR="005E2B71" w:rsidRPr="00356134" w:rsidRDefault="005E2B71" w:rsidP="005E2B71">
      <w:pPr>
        <w:spacing w:line="240" w:lineRule="auto"/>
        <w:ind w:left="-1134" w:right="-284"/>
        <w:jc w:val="both"/>
        <w:rPr>
          <w:rFonts w:ascii="Times New Roman" w:hAnsi="Times New Roman" w:cs="Times New Roman"/>
          <w:b/>
          <w:sz w:val="24"/>
          <w:szCs w:val="24"/>
        </w:rPr>
      </w:pPr>
      <w:r w:rsidRPr="00356134">
        <w:rPr>
          <w:rFonts w:ascii="Times New Roman" w:hAnsi="Times New Roman" w:cs="Times New Roman"/>
          <w:b/>
          <w:sz w:val="24"/>
          <w:szCs w:val="24"/>
        </w:rPr>
        <w:t>Рыночный (ценовой) риск</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Помимо общего рыночного (ценового) риска, который несет клиент, совершающий операции на рынке ценных бумаг, также, в случае заключения фьючерсных, форвардных и своп договоров (контрактов), а также в случае продажи опционных контрактов, клиент будет нести риск неблагоприятного изменения цены как финансовых инструментов, являющихся базисным активом производных финансовых инструментов, так и риск в отношении активов, которые служат обеспечением.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 случае неблагоприятного изменения цены инвестор может в сравнительно короткий срок потерять средства, являющиеся обеспечением производных финансовых инструментов.</w:t>
      </w:r>
    </w:p>
    <w:p w:rsidR="005E2B71" w:rsidRPr="00277334" w:rsidRDefault="005E2B71" w:rsidP="005E2B71">
      <w:pPr>
        <w:spacing w:line="240" w:lineRule="auto"/>
        <w:ind w:left="-1134" w:right="-284"/>
        <w:jc w:val="both"/>
        <w:rPr>
          <w:rFonts w:ascii="Times New Roman" w:hAnsi="Times New Roman" w:cs="Times New Roman"/>
          <w:b/>
          <w:sz w:val="24"/>
          <w:szCs w:val="24"/>
        </w:rPr>
      </w:pPr>
      <w:r w:rsidRPr="00277334">
        <w:rPr>
          <w:rFonts w:ascii="Times New Roman" w:hAnsi="Times New Roman" w:cs="Times New Roman"/>
          <w:b/>
          <w:sz w:val="24"/>
          <w:szCs w:val="24"/>
        </w:rPr>
        <w:t>Риск ликвидности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Если инвестиционная стратегия инвестора предусматривает возможность возникновения необходимости закрытия позиции по соответствующему контракту (или заключения сделки с иным контрактом, которая снижает риск по данному контракту), необходимо обращать внимание на ликвидность соответствующих контрактов, так как закрытие позиций по неликвидным контрактам может привести к значительным дополнительным убыткам в связи с их низкой ликвидностью. Обратите внимание, что, как правило, контракты с более отдаленными сроками исполнения менее ликвидны по сравнению с контрактами с близкими сроками исполнения.</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lastRenderedPageBreak/>
        <w:t>Если заключенный инвестором договор, являющийся производным финансовым инструментом, неликвиден, и у инвестора возникла необходимость закрыть позицию, обязательно необходимо рассматривать помимо закрытия позиции по данному контракту альтернативные варианты исключения риска посредством заключения сделок с иными производными финансовыми инструментами или с базисными активами. Использование альтернативных вариантов может привести к меньшим убыткам.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При этом трудности с закрытием позиций и потери в цене могут привести к увеличению убытков по сравнению с обычными сделками.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Поручения инвестора, направленные на ограничение убытков, не всегда могут ограничить потери до предполагаемого уровня, так как в рамках складывающейся на рынке ситуации исполнение такого поручения по указанной инвестором цене может оказаться невозможным.</w:t>
      </w:r>
    </w:p>
    <w:p w:rsidR="005E2B71" w:rsidRPr="00277334" w:rsidRDefault="005E2B71" w:rsidP="005E2B71">
      <w:pPr>
        <w:spacing w:line="240" w:lineRule="auto"/>
        <w:ind w:left="-1134" w:right="-284"/>
        <w:jc w:val="both"/>
        <w:rPr>
          <w:rFonts w:ascii="Times New Roman" w:hAnsi="Times New Roman" w:cs="Times New Roman"/>
          <w:b/>
          <w:sz w:val="24"/>
          <w:szCs w:val="24"/>
        </w:rPr>
      </w:pPr>
      <w:r w:rsidRPr="00277334">
        <w:rPr>
          <w:rFonts w:ascii="Times New Roman" w:hAnsi="Times New Roman" w:cs="Times New Roman"/>
          <w:b/>
          <w:sz w:val="24"/>
          <w:szCs w:val="24"/>
        </w:rPr>
        <w:t>Ограничение распоряжения средствами, являющимися обеспечением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Имущество (часть имущества), принадлежащее инвестору, в результате заключения договора, являющегося производным финансовым инструментом, будет являться обеспечением исполнения обязательств инвестора по договору и распоряжение им, то есть возможность совершения инвестором сделок с ним, будет ограничено. Размер обеспечения изменяется в порядке, предусмотренном договором (спецификацией контракта), и в результате инвестор может быть ограничен в возможности распоряжаться своим имуществом в большей степени, чем до заключения договора.</w:t>
      </w:r>
    </w:p>
    <w:p w:rsidR="005E2B71" w:rsidRPr="00277334" w:rsidRDefault="005E2B71" w:rsidP="005E2B71">
      <w:pPr>
        <w:spacing w:line="240" w:lineRule="auto"/>
        <w:ind w:left="-1134" w:right="-284"/>
        <w:jc w:val="both"/>
        <w:rPr>
          <w:rFonts w:ascii="Times New Roman" w:hAnsi="Times New Roman" w:cs="Times New Roman"/>
          <w:b/>
          <w:sz w:val="24"/>
          <w:szCs w:val="24"/>
        </w:rPr>
      </w:pPr>
      <w:r w:rsidRPr="00277334">
        <w:rPr>
          <w:rFonts w:ascii="Times New Roman" w:hAnsi="Times New Roman" w:cs="Times New Roman"/>
          <w:b/>
          <w:sz w:val="24"/>
          <w:szCs w:val="24"/>
        </w:rPr>
        <w:t>Риск принудительного закрытия позиции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Неблагоприятное изменение цены может привести к необходимости внести дополнительные средства для того, чтобы привести обеспечение в соответствие с требованиями нормативных актов и брокерского договора, что должно быть сделано в короткий срок, которого может быть недостаточно для инвестора. Брокер (Банк) в этом случае вправе без дополнительного согласия инвестора «принудительно закрыть позицию», то есть заключить договор, являющийся производным финансовым инструментом, или приобрести ценные бумаги за счет денежных средств инвестора, или продать ценные бумаги инвестора. Это может быть сделано по существующим, в том числе невыгодным, ценам и привести к возникновению у инвестора убытков.</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Принудительное закрытие позиции направлено на управление рисками. Инвестор может понести значительные убытки несмотря на то, что после этого изменение цен на финансовые инструменты может принять благоприятное для инвестора направление и инвестор получил бы доход, если бы его позиция не была закрыта.</w:t>
      </w:r>
    </w:p>
    <w:p w:rsidR="005E2B71" w:rsidRPr="007D0400" w:rsidRDefault="005E2B71" w:rsidP="007D0400">
      <w:pPr>
        <w:spacing w:line="240" w:lineRule="auto"/>
        <w:ind w:left="-1134" w:right="-284"/>
        <w:jc w:val="center"/>
        <w:rPr>
          <w:rFonts w:ascii="Times New Roman" w:hAnsi="Times New Roman" w:cs="Times New Roman"/>
          <w:b/>
          <w:sz w:val="24"/>
          <w:szCs w:val="24"/>
        </w:rPr>
      </w:pPr>
      <w:r w:rsidRPr="007D0400">
        <w:rPr>
          <w:rFonts w:ascii="Times New Roman" w:hAnsi="Times New Roman" w:cs="Times New Roman"/>
          <w:b/>
          <w:sz w:val="24"/>
          <w:szCs w:val="24"/>
        </w:rPr>
        <w:t>Риски, обусловленные иностранным происхождением базисного актива</w:t>
      </w:r>
    </w:p>
    <w:p w:rsidR="005E2B71" w:rsidRPr="00277334" w:rsidRDefault="005E2B71" w:rsidP="005E2B71">
      <w:pPr>
        <w:spacing w:line="240" w:lineRule="auto"/>
        <w:ind w:left="-1134" w:right="-284"/>
        <w:jc w:val="both"/>
        <w:rPr>
          <w:rFonts w:ascii="Times New Roman" w:hAnsi="Times New Roman" w:cs="Times New Roman"/>
          <w:b/>
          <w:sz w:val="24"/>
          <w:szCs w:val="24"/>
        </w:rPr>
      </w:pPr>
      <w:r w:rsidRPr="00277334">
        <w:rPr>
          <w:rFonts w:ascii="Times New Roman" w:hAnsi="Times New Roman" w:cs="Times New Roman"/>
          <w:b/>
          <w:sz w:val="24"/>
          <w:szCs w:val="24"/>
        </w:rPr>
        <w:t>Системные риски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Применительно к базисному активу производных финансовых инструментов – ценным бумагам иностранных эмитентов и индексам, рассчитанным по таким ценным бумагам, системные риски, свойственные российскому фондовому рынку дополняются аналогичными системными рисками, свойственными стране, где выпущены или обращаются соответствующие иностранные ценные бумаг. К основным факторам, влияющим на уровень системного риска в целом, относятся политическая ситуация, особенности национального законодательства, валютного регулирования и вероятность их изменения, состояние государственных финансов, наличие и степень развитости финансовой системы страны места нахождения лица, обязанного по иностранным ценным бумагам.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 xml:space="preserve">На уровень системного риска могут оказывать влияние и многие другие факторы, в том числе вероятность введения ограничений на инвестиции в отдельные отрасли экономики или вероятность </w:t>
      </w:r>
      <w:r w:rsidRPr="005E2B71">
        <w:rPr>
          <w:rFonts w:ascii="Times New Roman" w:hAnsi="Times New Roman" w:cs="Times New Roman"/>
          <w:sz w:val="24"/>
          <w:szCs w:val="24"/>
        </w:rPr>
        <w:lastRenderedPageBreak/>
        <w:t>одномоментной девальвации национальной валюты. Общепринятой интегральной оценкой системного риска инвестиций является «суверенный рейтинг» в иностранной или национальной валюте, присвоенный стране, в которой зарегистрирован эмитент иностранной ценной бумаги, международными рейтинговыми агентствами MOODY’S, STANDARD &amp; POOR'S, FITCH IBCA, однако следует иметь в виду, что рейтинги являются лишь ориентирами и могут в конкретный момент не соответствовать реальной ситуации.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 настоящее время законодательство допускает возможность заключения российскими инвесторами договоров, являющихся российскими производными финансовыми инструментами, базисным активом которых являются ценные бумаги иностранных эмитентов или индексы, рассчитанные по таким ценным бумагам. Между тем, существуют риски изменения регулятивных подходов к соответствующим операциям, в результате чего может возникнуть необходимость совершать сделки, направленные на прекращение обязательств по указанным договорам, вопреки планам инвестора.</w:t>
      </w:r>
    </w:p>
    <w:p w:rsidR="005E2B71" w:rsidRPr="00277334" w:rsidRDefault="005E2B71" w:rsidP="005E2B71">
      <w:pPr>
        <w:spacing w:line="240" w:lineRule="auto"/>
        <w:ind w:left="-1134" w:right="-284"/>
        <w:jc w:val="both"/>
        <w:rPr>
          <w:rFonts w:ascii="Times New Roman" w:hAnsi="Times New Roman" w:cs="Times New Roman"/>
          <w:b/>
          <w:sz w:val="24"/>
          <w:szCs w:val="24"/>
        </w:rPr>
      </w:pPr>
      <w:r w:rsidRPr="00277334">
        <w:rPr>
          <w:rFonts w:ascii="Times New Roman" w:hAnsi="Times New Roman" w:cs="Times New Roman"/>
          <w:b/>
          <w:sz w:val="24"/>
          <w:szCs w:val="24"/>
        </w:rPr>
        <w:t>Правовые риски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Необходимо отдавать себе отчет в том, что иностранные финансовые инструменты, являющиеся базисными активами производных финансовых инструментов, не всегда являются аналогами российских финансовых инструментов. В любом случае, предоставляемые по ним права и правила их осуществления могут существенно отличаться от прав по российским финансовым инструментам.</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Возможности судебной защиты прав по производным финансовым инструментам с иностранным базисным активом могут быть существенно ограничены необходимостью обращения в зарубежные судебные и правоохранительные органы по установленным правилам, которые могут существенно отличаться от действующих в России. Кроме того, инвестор в большинстве случаев не сможет полагаться на защиту своих прав и законных интересов российскими уполномоченными органами.</w:t>
      </w:r>
    </w:p>
    <w:p w:rsidR="005E2B71" w:rsidRPr="00277334" w:rsidRDefault="005E2B71" w:rsidP="005E2B71">
      <w:pPr>
        <w:spacing w:line="240" w:lineRule="auto"/>
        <w:ind w:left="-1134" w:right="-284"/>
        <w:jc w:val="both"/>
        <w:rPr>
          <w:rFonts w:ascii="Times New Roman" w:hAnsi="Times New Roman" w:cs="Times New Roman"/>
          <w:b/>
          <w:sz w:val="24"/>
          <w:szCs w:val="24"/>
        </w:rPr>
      </w:pPr>
      <w:r w:rsidRPr="00277334">
        <w:rPr>
          <w:rFonts w:ascii="Times New Roman" w:hAnsi="Times New Roman" w:cs="Times New Roman"/>
          <w:b/>
          <w:sz w:val="24"/>
          <w:szCs w:val="24"/>
        </w:rPr>
        <w:t>Раскрытие информации</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Раскрытие информации в отношении иностранных ценных бумаг, являющихся базисным активом производных финансовых инструментов, осуществляется по правилам, действующим за рубежом, и на английском языке. Инв</w:t>
      </w:r>
      <w:bookmarkStart w:id="0" w:name="_GoBack"/>
      <w:bookmarkEnd w:id="0"/>
      <w:r w:rsidRPr="005E2B71">
        <w:rPr>
          <w:rFonts w:ascii="Times New Roman" w:hAnsi="Times New Roman" w:cs="Times New Roman"/>
          <w:sz w:val="24"/>
          <w:szCs w:val="24"/>
        </w:rPr>
        <w:t>естору необходимо оценить свою готовность анализировать информацию на английском языке, а также то, понимаете ли инвестор отличия между принятыми в России правилами финансовой отчетности, Международными стандартами финансовой отчетности или правилами финансовой отчетности, по которым публикуется информация эмитентом иностранных ценных бумаг.</w:t>
      </w:r>
    </w:p>
    <w:p w:rsidR="005E2B71" w:rsidRPr="005E2B71" w:rsidRDefault="005E2B71" w:rsidP="005E2B71">
      <w:pPr>
        <w:spacing w:line="240" w:lineRule="auto"/>
        <w:ind w:left="-1134" w:right="-284"/>
        <w:jc w:val="both"/>
        <w:rPr>
          <w:rFonts w:ascii="Times New Roman" w:hAnsi="Times New Roman" w:cs="Times New Roman"/>
          <w:sz w:val="24"/>
          <w:szCs w:val="24"/>
        </w:rPr>
      </w:pPr>
      <w:r w:rsidRPr="005E2B71">
        <w:rPr>
          <w:rFonts w:ascii="Times New Roman" w:hAnsi="Times New Roman" w:cs="Times New Roman"/>
          <w:sz w:val="24"/>
          <w:szCs w:val="24"/>
        </w:rPr>
        <w:t>Также российские организаторы торговли и (или) брокеры могут осуществлять перевод некоторых документов (информации), раскрываемых иностранным эмитентом для удобства инвестора. В этом случае перевод может восприниматься исключительно как вспомогательная информация к официально раскрытым документам (информации) на иностранном языке. Всегда необходимо учитывать вероятность ошибок переводчика, в том числе связанных с возможным различным переводом одних и </w:t>
      </w:r>
      <w:proofErr w:type="gramStart"/>
      <w:r w:rsidRPr="005E2B71">
        <w:rPr>
          <w:rFonts w:ascii="Times New Roman" w:hAnsi="Times New Roman" w:cs="Times New Roman"/>
          <w:sz w:val="24"/>
          <w:szCs w:val="24"/>
        </w:rPr>
        <w:t>тех же иностранных слов</w:t>
      </w:r>
      <w:proofErr w:type="gramEnd"/>
      <w:r w:rsidRPr="005E2B71">
        <w:rPr>
          <w:rFonts w:ascii="Times New Roman" w:hAnsi="Times New Roman" w:cs="Times New Roman"/>
          <w:sz w:val="24"/>
          <w:szCs w:val="24"/>
        </w:rPr>
        <w:t xml:space="preserve"> и фраз или отсутствием общепринятого русского эквивалента.</w:t>
      </w:r>
    </w:p>
    <w:p w:rsidR="00277334" w:rsidRDefault="00277334" w:rsidP="005E2B71">
      <w:pPr>
        <w:spacing w:line="240" w:lineRule="auto"/>
        <w:ind w:left="-1134" w:right="-284"/>
        <w:jc w:val="both"/>
        <w:rPr>
          <w:rFonts w:ascii="Times New Roman" w:hAnsi="Times New Roman" w:cs="Times New Roman"/>
          <w:sz w:val="24"/>
          <w:szCs w:val="24"/>
        </w:rPr>
      </w:pPr>
    </w:p>
    <w:p w:rsidR="00277334" w:rsidRDefault="00277334" w:rsidP="005E2B71">
      <w:pPr>
        <w:spacing w:line="240" w:lineRule="auto"/>
        <w:ind w:left="-1134" w:right="-284"/>
        <w:jc w:val="both"/>
        <w:rPr>
          <w:rFonts w:ascii="Times New Roman" w:hAnsi="Times New Roman" w:cs="Times New Roman"/>
          <w:sz w:val="24"/>
          <w:szCs w:val="24"/>
        </w:rPr>
      </w:pPr>
    </w:p>
    <w:p w:rsidR="00277334" w:rsidRDefault="00277334" w:rsidP="005E2B71">
      <w:pPr>
        <w:spacing w:line="240" w:lineRule="auto"/>
        <w:ind w:left="-1134" w:right="-284"/>
        <w:jc w:val="both"/>
        <w:rPr>
          <w:rFonts w:ascii="Times New Roman" w:hAnsi="Times New Roman" w:cs="Times New Roman"/>
          <w:sz w:val="24"/>
          <w:szCs w:val="24"/>
        </w:rPr>
      </w:pPr>
    </w:p>
    <w:p w:rsidR="00277334" w:rsidRDefault="00277334" w:rsidP="005E2B71">
      <w:pPr>
        <w:spacing w:line="240" w:lineRule="auto"/>
        <w:ind w:left="-1134" w:right="-284"/>
        <w:jc w:val="both"/>
        <w:rPr>
          <w:rFonts w:ascii="Times New Roman" w:hAnsi="Times New Roman" w:cs="Times New Roman"/>
          <w:sz w:val="24"/>
          <w:szCs w:val="24"/>
        </w:rPr>
      </w:pPr>
    </w:p>
    <w:p w:rsidR="00BF55E8" w:rsidRPr="005E2B71" w:rsidRDefault="00BF55E8" w:rsidP="005E2B71">
      <w:pPr>
        <w:spacing w:line="240" w:lineRule="auto"/>
        <w:ind w:left="-1134" w:right="-284"/>
        <w:jc w:val="both"/>
        <w:rPr>
          <w:rFonts w:ascii="Times New Roman" w:hAnsi="Times New Roman" w:cs="Times New Roman"/>
          <w:sz w:val="24"/>
          <w:szCs w:val="24"/>
        </w:rPr>
      </w:pPr>
    </w:p>
    <w:sectPr w:rsidR="00BF55E8" w:rsidRPr="005E2B71">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81F" w:rsidRDefault="0024781F" w:rsidP="00277334">
      <w:pPr>
        <w:spacing w:after="0" w:line="240" w:lineRule="auto"/>
      </w:pPr>
      <w:r>
        <w:separator/>
      </w:r>
    </w:p>
  </w:endnote>
  <w:endnote w:type="continuationSeparator" w:id="0">
    <w:p w:rsidR="0024781F" w:rsidRDefault="0024781F" w:rsidP="002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34" w:rsidRPr="00277334" w:rsidRDefault="00277334" w:rsidP="00277334">
    <w:pPr>
      <w:pStyle w:val="a6"/>
      <w:ind w:left="-993"/>
      <w:jc w:val="both"/>
      <w:rPr>
        <w:sz w:val="18"/>
      </w:rPr>
    </w:pPr>
  </w:p>
  <w:p w:rsidR="00277334" w:rsidRPr="00277334" w:rsidRDefault="00277334" w:rsidP="00277334">
    <w:pPr>
      <w:pStyle w:val="a6"/>
      <w:ind w:left="-993"/>
      <w:jc w:val="both"/>
      <w:rPr>
        <w:sz w:val="18"/>
      </w:rPr>
    </w:pPr>
    <w:r>
      <w:rPr>
        <w:sz w:val="18"/>
      </w:rPr>
      <w:t>*</w:t>
    </w:r>
    <w:r w:rsidRPr="00277334">
      <w:rPr>
        <w:sz w:val="18"/>
      </w:rPr>
      <w:t>Учитывая вышеизложенное, рекомендуем инвестору внимательно рассмотреть вопрос о том, являются ли риски, возникающие при проведении соответствующих операций, приемлемыми для инвестора с учетом инвестиционных целей и финансовых возможностей. Данная Декларация не имеет своей целью заставить инвестора отказаться от осуществления таких операций, а призвана помочь оценить их риски и ответственно подойти к решению вопроса о выборе инвестиционной стратегии и условий договора с брокером.</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81F" w:rsidRDefault="0024781F" w:rsidP="00277334">
      <w:pPr>
        <w:spacing w:after="0" w:line="240" w:lineRule="auto"/>
      </w:pPr>
      <w:r>
        <w:separator/>
      </w:r>
    </w:p>
  </w:footnote>
  <w:footnote w:type="continuationSeparator" w:id="0">
    <w:p w:rsidR="0024781F" w:rsidRDefault="0024781F" w:rsidP="0027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3674C"/>
    <w:multiLevelType w:val="multilevel"/>
    <w:tmpl w:val="382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70844"/>
    <w:multiLevelType w:val="multilevel"/>
    <w:tmpl w:val="76AC3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B71"/>
    <w:rsid w:val="0024781F"/>
    <w:rsid w:val="00277334"/>
    <w:rsid w:val="00356134"/>
    <w:rsid w:val="005E2B71"/>
    <w:rsid w:val="006A058F"/>
    <w:rsid w:val="007D0400"/>
    <w:rsid w:val="00BF55E8"/>
    <w:rsid w:val="00EE47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8B87"/>
  <w15:chartTrackingRefBased/>
  <w15:docId w15:val="{6BF3821C-99BF-4038-B547-AE3E2799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E2B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E2B7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E2B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7733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77334"/>
  </w:style>
  <w:style w:type="paragraph" w:styleId="a6">
    <w:name w:val="footer"/>
    <w:basedOn w:val="a"/>
    <w:link w:val="a7"/>
    <w:uiPriority w:val="99"/>
    <w:unhideWhenUsed/>
    <w:rsid w:val="0027733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7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4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3595</Words>
  <Characters>20495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2019-05-04T10:20:00Z</dcterms:created>
  <dcterms:modified xsi:type="dcterms:W3CDTF">2019-05-04T13:05:00Z</dcterms:modified>
</cp:coreProperties>
</file>