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9.png" ContentType="image/png"/>
  <Override PartName="/word/media/rId3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Comparing</w:t>
      </w:r>
      <w:r>
        <w:t xml:space="preserve"> </w:t>
      </w:r>
      <w:r>
        <w:t xml:space="preserve">LLM</w:t>
      </w:r>
      <w:r>
        <w:t xml:space="preserve"> </w:t>
      </w:r>
      <w:r>
        <w:t xml:space="preserve">and</w:t>
      </w:r>
      <w:r>
        <w:t xml:space="preserve"> </w:t>
      </w:r>
      <w:r>
        <w:t xml:space="preserve">human</w:t>
      </w:r>
      <w:r>
        <w:t xml:space="preserve"> </w:t>
      </w:r>
      <w:r>
        <w:t xml:space="preserve">peer</w:t>
      </w:r>
      <w:r>
        <w:t xml:space="preserve"> </w:t>
      </w:r>
      <w:r>
        <w:t xml:space="preserve">reviews</w:t>
      </w:r>
      <w:r>
        <w:t xml:space="preserve"> </w:t>
      </w:r>
      <w:r>
        <w:t xml:space="preserve">and</w:t>
      </w:r>
      <w:r>
        <w:t xml:space="preserve"> </w:t>
      </w:r>
      <w:r>
        <w:t xml:space="preserve">ratings</w:t>
      </w:r>
      <w:r>
        <w:t xml:space="preserve"> </w:t>
      </w:r>
      <w:r>
        <w:t xml:space="preserve">of</w:t>
      </w:r>
      <w:r>
        <w:t xml:space="preserve"> </w:t>
      </w:r>
      <w:r>
        <w:t xml:space="preserve">social</w:t>
      </w:r>
      <w:r>
        <w:t xml:space="preserve"> </w:t>
      </w:r>
      <w:r>
        <w:t xml:space="preserve">science</w:t>
      </w:r>
      <w:r>
        <w:t xml:space="preserve"> </w:t>
      </w:r>
      <w:r>
        <w:t xml:space="preserve">research</w:t>
      </w:r>
      <w:r>
        <w:t xml:space="preserve"> </w:t>
      </w:r>
      <w:r>
        <w:t xml:space="preserve">using</w:t>
      </w:r>
      <w:r>
        <w:t xml:space="preserve"> </w:t>
      </w:r>
      <w:r>
        <w:t xml:space="preserve">data</w:t>
      </w:r>
      <w:r>
        <w:t xml:space="preserve"> </w:t>
      </w:r>
      <w:r>
        <w:t xml:space="preserve">from</w:t>
      </w:r>
      <w:r>
        <w:t xml:space="preserve"> </w:t>
      </w:r>
      <w:r>
        <w:t xml:space="preserve">Unjournal.org</w:t>
      </w:r>
      <w:r>
        <w:t xml:space="preserve"> </w:t>
      </w:r>
      <w:r>
        <w:t xml:space="preserve">evaluations</w:t>
      </w:r>
    </w:p>
    <w:p>
      <w:pPr>
        <w:pStyle w:val="Author"/>
      </w:pPr>
      <w:r>
        <w:t xml:space="preserve">David</w:t>
      </w:r>
      <w:r>
        <w:t xml:space="preserve"> </w:t>
      </w:r>
      <w:r>
        <w:t xml:space="preserve">Reinstein</w:t>
      </w:r>
    </w:p>
    <w:p>
      <w:pPr>
        <w:pStyle w:val="Author"/>
      </w:pPr>
      <w:r>
        <w:t xml:space="preserve">Valentin</w:t>
      </w:r>
      <w:r>
        <w:t xml:space="preserve"> </w:t>
      </w:r>
      <w:r>
        <w:t xml:space="preserve">Klotzbücher</w:t>
      </w:r>
    </w:p>
    <w:p>
      <w:pPr>
        <w:pStyle w:val="Date"/>
      </w:pPr>
      <w:r>
        <w:t xml:space="preserve">2025-09-06</w:t>
      </w:r>
    </w:p>
    <w:p>
      <w:pPr>
        <w:pStyle w:val="AbstractTitle"/>
      </w:pPr>
      <w:r>
        <w:t xml:space="preserve">Abstract</w:t>
      </w:r>
    </w:p>
    <w:p>
      <w:pPr>
        <w:pStyle w:val="Abstract"/>
      </w:pPr>
      <w:r>
        <w:t xml:space="preserve">We</w:t>
      </w:r>
      <w:r>
        <w:t xml:space="preserve"> </w:t>
      </w:r>
      <w:r>
        <w:t xml:space="preserve">will</w:t>
      </w:r>
      <w:r>
        <w:t xml:space="preserve"> </w:t>
      </w:r>
      <w:r>
        <w:t xml:space="preserve">build</w:t>
      </w:r>
      <w:r>
        <w:t xml:space="preserve"> </w:t>
      </w:r>
      <w:r>
        <w:t xml:space="preserve">and</w:t>
      </w:r>
      <w:r>
        <w:t xml:space="preserve"> </w:t>
      </w:r>
      <w:r>
        <w:t xml:space="preserve">refine</w:t>
      </w:r>
      <w:r>
        <w:t xml:space="preserve"> </w:t>
      </w:r>
      <w:r>
        <w:t xml:space="preserve">LLM</w:t>
      </w:r>
      <w:r>
        <w:t xml:space="preserve"> </w:t>
      </w:r>
      <w:r>
        <w:t xml:space="preserve">tools</w:t>
      </w:r>
      <w:r>
        <w:t xml:space="preserve"> </w:t>
      </w:r>
      <w:r>
        <w:t xml:space="preserve">to</w:t>
      </w:r>
      <w:r>
        <w:t xml:space="preserve"> </w:t>
      </w:r>
      <w:r>
        <w:t xml:space="preserve">generate</w:t>
      </w:r>
      <w:r>
        <w:t xml:space="preserve"> </w:t>
      </w:r>
      <w:r>
        <w:t xml:space="preserve">peer-reviews</w:t>
      </w:r>
      <w:r>
        <w:t xml:space="preserve"> </w:t>
      </w:r>
      <w:r>
        <w:t xml:space="preserve">and</w:t>
      </w:r>
      <w:r>
        <w:t xml:space="preserve"> </w:t>
      </w:r>
      <w:r>
        <w:t xml:space="preserve">ratings</w:t>
      </w:r>
      <w:r>
        <w:t xml:space="preserve"> </w:t>
      </w:r>
      <w:r>
        <w:t xml:space="preserve">of</w:t>
      </w:r>
      <w:r>
        <w:t xml:space="preserve"> </w:t>
      </w:r>
      <w:r>
        <w:t xml:space="preserve">impactful</w:t>
      </w:r>
      <w:r>
        <w:t xml:space="preserve"> </w:t>
      </w:r>
      <w:r>
        <w:t xml:space="preserve">research,</w:t>
      </w:r>
      <w:r>
        <w:t xml:space="preserve"> </w:t>
      </w:r>
      <w:r>
        <w:t xml:space="preserve">and</w:t>
      </w:r>
      <w:r>
        <w:t xml:space="preserve"> </w:t>
      </w:r>
      <w:r>
        <w:t xml:space="preserve">compare</w:t>
      </w:r>
      <w:r>
        <w:t xml:space="preserve"> </w:t>
      </w:r>
      <w:r>
        <w:t xml:space="preserve">these</w:t>
      </w:r>
      <w:r>
        <w:t xml:space="preserve"> </w:t>
      </w:r>
      <w:r>
        <w:t xml:space="preserve">with</w:t>
      </w:r>
      <w:r>
        <w:t xml:space="preserve"> </w:t>
      </w:r>
      <w:r>
        <w:t xml:space="preserve">human</w:t>
      </w:r>
      <w:r>
        <w:t xml:space="preserve"> </w:t>
      </w:r>
      <w:r>
        <w:t xml:space="preserve">experts’</w:t>
      </w:r>
      <w:r>
        <w:t xml:space="preserve"> </w:t>
      </w:r>
      <w:r>
        <w:t xml:space="preserve">work</w:t>
      </w:r>
      <w:r>
        <w:t xml:space="preserve"> </w:t>
      </w:r>
      <w:r>
        <w:t xml:space="preserve">(esp. from</w:t>
      </w:r>
      <w:r>
        <w:t xml:space="preserve"> </w:t>
      </w:r>
      <w:r>
        <w:t xml:space="preserve">Unjournal.org):</w:t>
      </w:r>
      <w:r>
        <w:t xml:space="preserve"> </w:t>
      </w:r>
      <w:r>
        <w:t xml:space="preserve">to</w:t>
      </w:r>
      <w:r>
        <w:t xml:space="preserve"> </w:t>
      </w:r>
      <w:r>
        <w:t xml:space="preserve">benchmark</w:t>
      </w:r>
      <w:r>
        <w:t xml:space="preserve"> </w:t>
      </w:r>
      <w:r>
        <w:t xml:space="preserve">performance,</w:t>
      </w:r>
      <w:r>
        <w:t xml:space="preserve"> </w:t>
      </w:r>
      <w:r>
        <w:t xml:space="preserve">understand</w:t>
      </w:r>
      <w:r>
        <w:t xml:space="preserve"> </w:t>
      </w:r>
      <w:r>
        <w:t xml:space="preserve">AI’s</w:t>
      </w:r>
      <w:r>
        <w:t xml:space="preserve"> </w:t>
      </w:r>
      <w:r>
        <w:t xml:space="preserve">research</w:t>
      </w:r>
      <w:r>
        <w:t xml:space="preserve"> </w:t>
      </w:r>
      <w:r>
        <w:t xml:space="preserve">taste,</w:t>
      </w:r>
      <w:r>
        <w:t xml:space="preserve"> </w:t>
      </w:r>
      <w:r>
        <w:t xml:space="preserve">and</w:t>
      </w:r>
      <w:r>
        <w:t xml:space="preserve"> </w:t>
      </w:r>
      <w:r>
        <w:t xml:space="preserve">develop</w:t>
      </w:r>
      <w:r>
        <w:t xml:space="preserve"> </w:t>
      </w:r>
      <w:r>
        <w:t xml:space="preserve">tools</w:t>
      </w:r>
      <w:r>
        <w:t xml:space="preserve"> </w:t>
      </w:r>
      <w:r>
        <w:t xml:space="preserve">to</w:t>
      </w:r>
      <w:r>
        <w:t xml:space="preserve"> </w:t>
      </w:r>
      <w:r>
        <w:t xml:space="preserve">improve</w:t>
      </w:r>
      <w:r>
        <w:t xml:space="preserve"> </w:t>
      </w:r>
      <w:r>
        <w:t xml:space="preserve">research</w:t>
      </w:r>
      <w:r>
        <w:t xml:space="preserve"> </w:t>
      </w:r>
      <w:r>
        <w:t xml:space="preserve">evaluation</w:t>
      </w:r>
      <w:r>
        <w:t xml:space="preserve"> </w:t>
      </w:r>
      <w:r>
        <w:t xml:space="preserve">and</w:t>
      </w:r>
      <w:r>
        <w:t xml:space="preserve"> </w:t>
      </w:r>
      <w:r>
        <w:t xml:space="preserve">dissemination.</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5" w:name="project-overview"/>
    <w:p>
      <w:pPr>
        <w:pStyle w:val="Heading1"/>
      </w:pPr>
      <w:r>
        <w:t xml:space="preserve">1. Project Overview</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VK\AppData\Local\Programs\Quarto\share\formats\docx\warning.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Work in progress. Pages, metrics, and comparisons are under active development. Expect rough edges and frequent updates.</w:t>
            </w:r>
          </w:p>
        </w:tc>
      </w:tr>
    </w:tbl>
    <w:bookmarkStart w:id="23" w:name="motivation-and-questions"/>
    <w:p>
      <w:pPr>
        <w:pStyle w:val="Heading2"/>
      </w:pPr>
      <w:r>
        <w:t xml:space="preserve">1.1 Motivation and questions</w:t>
      </w:r>
    </w:p>
    <w:p>
      <w:pPr>
        <w:pStyle w:val="FirstParagraph"/>
      </w:pPr>
      <w:r>
        <w:t xml:space="preserve">Is AI good at peer-reviewing? Does it offer useful and valid feedback? Can it predict how human experts will rate research across a range of categories? How can it help academics do this</w:t>
      </w:r>
      <w:r>
        <w:t xml:space="preserve"> </w:t>
      </w:r>
      <w:r>
        <w:t xml:space="preserve">“</w:t>
      </w:r>
      <w:r>
        <w:t xml:space="preserve">thankless</w:t>
      </w:r>
      <w:r>
        <w:t xml:space="preserve">”</w:t>
      </w:r>
      <w:r>
        <w:t xml:space="preserve"> </w:t>
      </w:r>
      <w:r>
        <w:t xml:space="preserve">task better? Is it particularly good at spotting errors? Are there specific categories, e.g. spotting math errors or judging real-world relevance, where it does surprisingly well or poorly? How does its</w:t>
      </w:r>
      <w:r>
        <w:t xml:space="preserve"> </w:t>
      </w:r>
      <w:r>
        <w:t xml:space="preserve">“</w:t>
      </w:r>
      <w:r>
        <w:t xml:space="preserve">research taste</w:t>
      </w:r>
      <w:r>
        <w:t xml:space="preserve">”</w:t>
      </w:r>
      <w:r>
        <w:t xml:space="preserve"> </w:t>
      </w:r>
      <w:r>
        <w:t xml:space="preserve">compare to humans?</w:t>
      </w:r>
    </w:p>
    <w:p>
      <w:pPr>
        <w:pStyle w:val="BodyText"/>
      </w:pPr>
      <w:r>
        <w:t xml:space="preserve">If AI research-evaluation works it could free up a lot of scientific resources – perhaps $1.5 billion/year in the US alone (</w:t>
      </w:r>
      <w:r>
        <w:t xml:space="preserve">Aczel, Szaszi, and Holcombe (</w:t>
      </w:r>
      <w:hyperlink w:anchor="ref-aczel2021billion">
        <w:r>
          <w:rPr>
            <w:rStyle w:val="Hyperlink"/>
          </w:rPr>
          <w:t xml:space="preserve">2021</w:t>
        </w:r>
      </w:hyperlink>
      <w:r>
        <w:t xml:space="preserve">)</w:t>
      </w:r>
      <w:r>
        <w:t xml:space="preserve">)) – and offer more continual and detailed review, helping improve research. It could also help characterize methodological strengths/weaknesses across papers, aiding training and research direction-setting. Furthermore, a key promise of AI is to directly improve science and research. Understanding how AI engages with research evaluations may provide a window into its values, abilities, and limitations.</w:t>
      </w:r>
    </w:p>
    <w:p>
      <w:pPr>
        <w:pStyle w:val="BodyText"/>
      </w:pPr>
      <w:r>
        <w:t xml:space="preserve">In this project, we are testing the capabilities of current large language models (LLMs), illustrating whether they can generate research paper evaluations comparable to expert human reviews. The Unjournal systematically prioritizes</w:t>
      </w:r>
      <w:r>
        <w:t xml:space="preserve"> </w:t>
      </w:r>
      <w:r>
        <w:t xml:space="preserve">‘</w:t>
      </w:r>
      <w:r>
        <w:t xml:space="preserve">impactful</w:t>
      </w:r>
      <w:r>
        <w:t xml:space="preserve">’</w:t>
      </w:r>
      <w:r>
        <w:t xml:space="preserve"> </w:t>
      </w:r>
      <w:r>
        <w:t xml:space="preserve">research and pays for high-quality human evaluations, structured quantified ratings, claim identification and assessment, and predictions. In this project, we use an AI (OpenAI’s</w:t>
      </w:r>
      <w:r>
        <w:t xml:space="preserve"> </w:t>
      </w:r>
      <w:r>
        <w:rPr>
          <w:rStyle w:val="VerbatimChar"/>
        </w:rPr>
        <w:t xml:space="preserve">GPT-5</w:t>
      </w:r>
      <w:r>
        <w:t xml:space="preserve"> </w:t>
      </w:r>
      <w:r>
        <w:t xml:space="preserve">model for now) to review social science research papers under the same criteria used by human reviewers for The Unjournal.</w:t>
      </w:r>
    </w:p>
    <w:p>
      <w:pPr>
        <w:pStyle w:val="BodyText"/>
      </w:pPr>
      <w:r>
        <w:t xml:space="preserve">Each paper is assessed on specific dimensions – for example, the strength of its evidence, rigor of methods, clarity of communication, openness/reproducibility, relevance to global priorities, and overall quality. The LLM will provide quantitative scores (with uncertainty intervals) on these criteria and produce a written evaluation</w:t>
      </w:r>
    </w:p>
    <w:p>
      <w:pPr>
        <w:pStyle w:val="BodyText"/>
      </w:pPr>
      <w:r>
        <w:t xml:space="preserve">Our initial dataset will include research papers that have existing human evaluations. For each paper, the AI will generate: (1) numeric ratings on the defined criteria, (2) identification of the paper’s key claims, and (3) a detailed review discussing the paper’s contributions and weaknesses. We will then compare the AI-generated evaluations to the published human evaluations.</w:t>
      </w:r>
    </w:p>
    <w:p>
      <w:pPr>
        <w:pStyle w:val="BodyText"/>
      </w:pPr>
      <w:r>
        <w:t xml:space="preserve">Next, we will focus on papers currently under evaluation, ie where no human evaluation exists yet and we can rule out any contamination.</w:t>
      </w:r>
    </w:p>
    <w:bookmarkEnd w:id="23"/>
    <w:bookmarkStart w:id="24" w:name="related-work"/>
    <w:p>
      <w:pPr>
        <w:pStyle w:val="Heading2"/>
      </w:pPr>
      <w:r>
        <w:t xml:space="preserve">1.2 Related work</w:t>
      </w:r>
    </w:p>
    <w:p>
      <w:pPr>
        <w:pStyle w:val="FirstParagraph"/>
      </w:pPr>
      <w:r>
        <w:t xml:space="preserve">Luo et al. (</w:t>
      </w:r>
      <w:hyperlink w:anchor="ref-Luo2025">
        <w:r>
          <w:rPr>
            <w:rStyle w:val="Hyperlink"/>
          </w:rPr>
          <w:t xml:space="preserve">2025</w:t>
        </w:r>
      </w:hyperlink>
      <w:r>
        <w:t xml:space="preserve">)</w:t>
      </w:r>
      <w:r>
        <w:t xml:space="preserve"> </w:t>
      </w:r>
      <w:r>
        <w:t xml:space="preserve">survey LLM roles from idea generation to peer review, including experiment planning and automated scientific writing. They highlight opportunities (productivity, coverage of long documents) alongside governance needs (provenance, detection of LLM-generated content, standardizing tooling) and call for reliable evaluation frameworks.</w:t>
      </w:r>
    </w:p>
    <w:p>
      <w:pPr>
        <w:pStyle w:val="BodyText"/>
      </w:pPr>
      <w:r>
        <w:t xml:space="preserve">Eger et al. (</w:t>
      </w:r>
      <w:hyperlink w:anchor="ref-eger2025">
        <w:r>
          <w:rPr>
            <w:rStyle w:val="Hyperlink"/>
          </w:rPr>
          <w:t xml:space="preserve">2025</w:t>
        </w:r>
      </w:hyperlink>
      <w:r>
        <w:t xml:space="preserve">)</w:t>
      </w:r>
      <w:r>
        <w:t xml:space="preserve"> </w:t>
      </w:r>
      <w:r>
        <w:t xml:space="preserve">provide a broad review of LLMs in science and a focused discussion of AI‑assisted peer review. They emphasize: (i) peer‑review data is scarce and concentrated in CS/OpenReview venues; (ii) targeted assistance that preserves human autonomy is preferable to end‑to‑end reviewing; and (iii) ethics and governance (bias, provenance, detection of AI‑generated text) are first‑class constraints.</w:t>
      </w:r>
    </w:p>
    <w:p>
      <w:pPr>
        <w:pStyle w:val="BodyText"/>
      </w:pPr>
      <w:r>
        <w:t xml:space="preserve">Zhang and Abernethy (</w:t>
      </w:r>
      <w:hyperlink w:anchor="ref-Zhang2025">
        <w:r>
          <w:rPr>
            <w:rStyle w:val="Hyperlink"/>
          </w:rPr>
          <w:t xml:space="preserve">2025</w:t>
        </w:r>
      </w:hyperlink>
      <w:r>
        <w:t xml:space="preserve">)</w:t>
      </w:r>
      <w:r>
        <w:t xml:space="preserve"> </w:t>
      </w:r>
      <w:r>
        <w:t xml:space="preserve">propose deploying LLMs as quality checkers to surface critical problems instead of generating full narrative reviews. Using papers from WITHDRARXIV and an automatic evaluation framework that leverages</w:t>
      </w:r>
      <w:r>
        <w:t xml:space="preserve"> </w:t>
      </w:r>
      <w:r>
        <w:t xml:space="preserve">“</w:t>
      </w:r>
      <w:r>
        <w:t xml:space="preserve">LLM-as-judge,</w:t>
      </w:r>
      <w:r>
        <w:t xml:space="preserve">”</w:t>
      </w:r>
      <w:r>
        <w:t xml:space="preserve"> </w:t>
      </w:r>
      <w:r>
        <w:t xml:space="preserve">they find the best performance from top reasoning models but still recommend human oversight.</w:t>
      </w:r>
    </w:p>
    <w:p>
      <w:pPr>
        <w:pStyle w:val="BodyText"/>
      </w:pPr>
    </w:p>
    <w:bookmarkEnd w:id="24"/>
    <w:bookmarkEnd w:id="25"/>
    <w:bookmarkStart w:id="26" w:name="numerical-ratings"/>
    <w:p>
      <w:pPr>
        <w:pStyle w:val="Heading1"/>
      </w:pPr>
      <w:r>
        <w:t xml:space="preserve">2. Numerical ratings</w:t>
      </w:r>
    </w:p>
    <w:p>
      <w:pPr>
        <w:pStyle w:val="FirstParagraph"/>
      </w:pPr>
      <w:r>
        <w:t xml:space="preserve">We evaluate each paper along the following dimensions:</w:t>
      </w:r>
      <w:r>
        <w:t xml:space="preserve"> </w:t>
      </w:r>
      <w:r>
        <w:rPr>
          <w:bCs/>
          <w:b/>
        </w:rPr>
        <w:t xml:space="preserve">claims &amp; evidence</w:t>
      </w:r>
      <w:r>
        <w:t xml:space="preserve">,</w:t>
      </w:r>
      <w:r>
        <w:t xml:space="preserve"> </w:t>
      </w:r>
      <w:r>
        <w:rPr>
          <w:bCs/>
          <w:b/>
        </w:rPr>
        <w:t xml:space="preserve">methods</w:t>
      </w:r>
      <w:r>
        <w:t xml:space="preserve">,</w:t>
      </w:r>
      <w:r>
        <w:t xml:space="preserve"> </w:t>
      </w:r>
      <w:r>
        <w:rPr>
          <w:bCs/>
          <w:b/>
        </w:rPr>
        <w:t xml:space="preserve">logic &amp; communication</w:t>
      </w:r>
      <w:r>
        <w:t xml:space="preserve">,</w:t>
      </w:r>
      <w:r>
        <w:t xml:space="preserve"> </w:t>
      </w:r>
      <w:r>
        <w:rPr>
          <w:bCs/>
          <w:b/>
        </w:rPr>
        <w:t xml:space="preserve">open science</w:t>
      </w:r>
      <w:r>
        <w:t xml:space="preserve">,</w:t>
      </w:r>
      <w:r>
        <w:t xml:space="preserve"> </w:t>
      </w:r>
      <w:r>
        <w:rPr>
          <w:bCs/>
          <w:b/>
        </w:rPr>
        <w:t xml:space="preserve">global relevance</w:t>
      </w:r>
      <w:r>
        <w:t xml:space="preserve">, and an</w:t>
      </w:r>
      <w:r>
        <w:t xml:space="preserve"> </w:t>
      </w:r>
      <w:r>
        <w:rPr>
          <w:bCs/>
          <w:b/>
        </w:rPr>
        <w:t xml:space="preserve">overall</w:t>
      </w:r>
      <w:r>
        <w:t xml:space="preserve"> </w:t>
      </w:r>
      <w:r>
        <w:t xml:space="preserve">assessment. Ratings are interpreted as percentiles relative to serious recent work in the same area. For each metric the model returns a midpoint and a 90% credible interval to communicate uncertainty.</w:t>
      </w:r>
    </w:p>
    <w:p>
      <w:pPr>
        <w:pStyle w:val="BodyText"/>
      </w:pPr>
      <w:r>
        <w:t xml:space="preserve">We iterate over</w:t>
      </w:r>
      <w:r>
        <w:t xml:space="preserve"> </w:t>
      </w:r>
      <w:r>
        <w:rPr>
          <w:rStyle w:val="VerbatimChar"/>
        </w:rPr>
        <w:t xml:space="preserve">papers/*.pdf</w:t>
      </w:r>
      <w:r>
        <w:t xml:space="preserve">, collect raw results and write a long CSV to</w:t>
      </w:r>
      <w:r>
        <w:t xml:space="preserve"> </w:t>
      </w:r>
      <w:r>
        <w:rPr>
          <w:rStyle w:val="VerbatimChar"/>
        </w:rPr>
        <w:t xml:space="preserve">results/metrics_long.csv</w:t>
      </w:r>
      <w:r>
        <w:t xml:space="preserve">.</w:t>
      </w:r>
    </w:p>
    <w:p>
      <w:r>
        <w:pict>
          <v:rect style="width:0;height:1.5pt" o:hralign="center" o:hrstd="t" o:hr="t"/>
        </w:pict>
      </w:r>
    </w:p>
    <w:bookmarkEnd w:id="26"/>
    <w:bookmarkStart w:id="53" w:name="llm-vs.-human-ratings"/>
    <w:p>
      <w:pPr>
        <w:pStyle w:val="Heading1"/>
      </w:pPr>
      <w:r>
        <w:t xml:space="preserve">3. LLM vs. Human Ratings</w:t>
      </w:r>
    </w:p>
    <w:bookmarkStart w:id="29" w:name="overview"/>
    <w:p>
      <w:pPr>
        <w:pStyle w:val="Heading2"/>
      </w:pPr>
      <w:r>
        <w:t xml:space="preserve">3.1 Overview</w:t>
      </w:r>
    </w:p>
    <w:p>
      <w:pPr>
        <w:pStyle w:val="FirstParagraph"/>
      </w:pPr>
      <w:r>
        <w:t xml:space="preserve">This page compares the LLM‑generated ratings (</w:t>
      </w:r>
      <w:r>
        <w:rPr>
          <w:rStyle w:val="VerbatimChar"/>
        </w:rPr>
        <w:t xml:space="preserve">gpt-5</w:t>
      </w:r>
      <w:r>
        <w:t xml:space="preserve">) from the</w:t>
      </w:r>
      <w:hyperlink r:id="rId27">
        <w:r>
          <w:rPr>
            <w:rStyle w:val="Hyperlink"/>
          </w:rPr>
          <w:t xml:space="preserve">(previous section</w:t>
        </w:r>
      </w:hyperlink>
      <w:r>
        <w:t xml:space="preserve"> </w:t>
      </w:r>
      <w:r>
        <w:t xml:space="preserve">with human evaluations across</w:t>
      </w:r>
      <w:r>
        <w:t xml:space="preserve"> </w:t>
      </w:r>
      <w:hyperlink r:id="rId28">
        <w:r>
          <w:rPr>
            <w:rStyle w:val="Hyperlink"/>
          </w:rPr>
          <w:t xml:space="preserve">the Unjournal’s criteria</w:t>
        </w:r>
      </w:hyperlink>
      <w:r>
        <w:t xml:space="preserve">. We (i) harmonize the two sources to a common set of metrics and paper IDs, (ii) compute paired scores per</w:t>
      </w:r>
      <w:r>
        <w:t xml:space="preserve"> </w:t>
      </w:r>
      <w:r>
        <w:rPr>
          <w:iCs/>
          <w:i/>
        </w:rPr>
        <w:t xml:space="preserve">(paper, metric)</w:t>
      </w:r>
      <w:r>
        <w:t xml:space="preserve">, and (iii) summarize agreement using distributional views and reliability statistics.</w:t>
      </w:r>
    </w:p>
    <w:bookmarkEnd w:id="29"/>
    <w:bookmarkStart w:id="30" w:name="data-harmonization"/>
    <w:p>
      <w:pPr>
        <w:pStyle w:val="Heading2"/>
      </w:pPr>
      <w:r>
        <w:t xml:space="preserve">3.2 Data &amp; Harmonization</w:t>
      </w:r>
    </w:p>
    <w:p>
      <w:pPr>
        <w:numPr>
          <w:ilvl w:val="0"/>
          <w:numId w:val="1001"/>
        </w:numPr>
        <w:pStyle w:val="Compact"/>
      </w:pPr>
      <w:r>
        <w:t xml:space="preserve">Sources. LLM ratings come from</w:t>
      </w:r>
      <w:r>
        <w:t xml:space="preserve"> </w:t>
      </w:r>
      <w:r>
        <w:rPr>
          <w:rStyle w:val="VerbatimChar"/>
        </w:rPr>
        <w:t xml:space="preserve">results/metrics_long.csv</w:t>
      </w:r>
      <w:r>
        <w:t xml:space="preserve"> </w:t>
      </w:r>
      <w:r>
        <w:t xml:space="preserve">(rendered in the previous chapter). Human ratings are imported from your hand‑coded spreadsheet and mapped to LLM paper IDs via</w:t>
      </w:r>
      <w:r>
        <w:t xml:space="preserve"> </w:t>
      </w:r>
      <w:r>
        <w:rPr>
          <w:rStyle w:val="VerbatimChar"/>
        </w:rPr>
        <w:t xml:space="preserve">UJ_map.csv</w:t>
      </w:r>
      <w:r>
        <w:t xml:space="preserve">.</w:t>
      </w:r>
      <w:r>
        <w:br/>
      </w:r>
    </w:p>
    <w:p>
      <w:pPr>
        <w:numPr>
          <w:ilvl w:val="0"/>
          <w:numId w:val="1001"/>
        </w:numPr>
        <w:pStyle w:val="Compact"/>
      </w:pPr>
      <w:r>
        <w:t xml:space="preserve">Metric alignment. Human criteria are recoded to the LLM schema (e.g.,</w:t>
      </w:r>
      <w:r>
        <w:t xml:space="preserve"> </w:t>
      </w:r>
      <w:r>
        <w:rPr>
          <w:rStyle w:val="VerbatimChar"/>
        </w:rPr>
        <w:t xml:space="preserve">claims</w:t>
      </w:r>
      <w:r>
        <w:t xml:space="preserve"> </w:t>
      </w:r>
      <w:r>
        <w:t xml:space="preserve">→</w:t>
      </w:r>
      <w:r>
        <w:t xml:space="preserve"> </w:t>
      </w:r>
      <w:r>
        <w:rPr>
          <w:rStyle w:val="VerbatimChar"/>
        </w:rPr>
        <w:t xml:space="preserve">claims_evidence</w:t>
      </w:r>
      <w:r>
        <w:t xml:space="preserve">,</w:t>
      </w:r>
      <w:r>
        <w:t xml:space="preserve"> </w:t>
      </w:r>
      <w:r>
        <w:rPr>
          <w:rStyle w:val="VerbatimChar"/>
        </w:rPr>
        <w:t xml:space="preserve">adv_knowledge</w:t>
      </w:r>
      <w:r>
        <w:t xml:space="preserve"> </w:t>
      </w:r>
      <w:r>
        <w:t xml:space="preserve">→</w:t>
      </w:r>
      <w:r>
        <w:t xml:space="preserve"> </w:t>
      </w:r>
      <w:r>
        <w:rPr>
          <w:rStyle w:val="VerbatimChar"/>
        </w:rPr>
        <w:t xml:space="preserve">advancing_knowledge</w:t>
      </w:r>
      <w:r>
        <w:t xml:space="preserve">, etc.). If humans provided both</w:t>
      </w:r>
      <w:r>
        <w:t xml:space="preserve"> </w:t>
      </w:r>
      <w:r>
        <w:rPr>
          <w:rStyle w:val="VerbatimChar"/>
        </w:rPr>
        <w:t xml:space="preserve">gp_relevance</w:t>
      </w:r>
      <w:r>
        <w:t xml:space="preserve"> </w:t>
      </w:r>
      <w:r>
        <w:t xml:space="preserve">and</w:t>
      </w:r>
      <w:r>
        <w:t xml:space="preserve"> </w:t>
      </w:r>
      <w:r>
        <w:rPr>
          <w:rStyle w:val="VerbatimChar"/>
        </w:rPr>
        <w:t xml:space="preserve">real_world</w:t>
      </w:r>
      <w:r>
        <w:t xml:space="preserve">, we fold these into the single LLM metric</w:t>
      </w:r>
      <w:r>
        <w:t xml:space="preserve"> </w:t>
      </w:r>
      <w:r>
        <w:rPr>
          <w:rStyle w:val="VerbatimChar"/>
        </w:rPr>
        <w:t xml:space="preserve">global_relevance</w:t>
      </w:r>
      <w:r>
        <w:t xml:space="preserve">.</w:t>
      </w:r>
      <w:r>
        <w:br/>
      </w:r>
    </w:p>
    <w:p>
      <w:pPr>
        <w:numPr>
          <w:ilvl w:val="0"/>
          <w:numId w:val="1001"/>
        </w:numPr>
        <w:pStyle w:val="Compact"/>
      </w:pPr>
      <w:r>
        <w:t xml:space="preserve">Uncertainty fields. Where available, we carry lower/upper bounds for both LLM and humans; these are used in optional uncertainty checks but do not affect the mid‑point comparisons below.</w:t>
      </w:r>
    </w:p>
    <w:bookmarkEnd w:id="30"/>
    <w:bookmarkStart w:id="38" w:name="distribution-of-ratings"/>
    <w:p>
      <w:pPr>
        <w:pStyle w:val="Heading2"/>
      </w:pPr>
      <w:r>
        <w:t xml:space="preserve">3.3 Distribution of ratings</w:t>
      </w:r>
    </w:p>
    <w:tbl>
      <w:tblPr>
        <w:tblStyle w:val="Table"/>
        <w:tblW w:type="pct" w:w="5000"/>
        <w:tblLook w:firstRow="0" w:lastRow="0" w:firstColumn="0" w:lastColumn="0" w:noHBand="0" w:noVBand="0" w:val="0000"/>
        <w:jc w:val="start"/>
        <w:tblLayout w:type="fixed"/>
      </w:tblPr>
      <w:tblGrid>
        <w:gridCol w:w="7920"/>
      </w:tblGrid>
      <w:tr>
        <w:tc>
          <w:tcPr/>
          <w:bookmarkStart w:id="33" w:name="fig-scatter-ellipses"/>
          <w:tbl>
            <w:tblPr>
              <w:tblStyle w:val="Table"/>
              <w:tblW w:type="pct" w:w="5000"/>
              <w:tblLook w:firstRow="0" w:lastRow="0" w:firstColumn="0" w:lastColumn="0" w:noHBand="0" w:noVBand="0" w:val="0000"/>
              <w:jc w:val="start"/>
              <w:tblLayout w:type="fixed"/>
            </w:tblPr>
            <w:tblGrid>
              <w:gridCol w:w="7920"/>
            </w:tblGrid>
            <w:tr>
              <w:tc>
                <w:tcPr/>
                <w:bookmarkStart w:id="31" w:name="fig-scatter-ellipses-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LLM vs Human with robust CI ellipses. Horizontal span covers the union of all human raters’ CIs and point ratings; vertical span from LLM CI. Centers at midpoints. Dropdown selects metric.</w:t>
                  </w:r>
                </w:p>
                <w:bookmarkEnd w:id="31"/>
              </w:tc>
            </w:tr>
          </w:tbl>
          <w:p>
            <w:pPr>
              <w:jc w:val="center"/>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32" w:name="fig-scatter-ellipses-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32"/>
              </w:tc>
            </w:tr>
          </w:tbl>
          <w:p>
            <w:pPr>
              <w:jc w:val="center"/>
            </w:pPr>
            <w:pPr>
              <w:jc w:val="start"/>
              <w:spacing w:before="200"/>
              <w:pStyle w:val="ImageCaption"/>
            </w:pPr>
            <w:r>
              <w:t xml:space="preserve">Figure 3.1</w:t>
            </w:r>
          </w:p>
          <w:bookmarkEnd w:id="33"/>
        </w:tc>
      </w:tr>
    </w:tbl>
    <w:p>
      <w:pPr>
        <w:pStyle w:val="BodyText"/>
      </w:pPr>
      <w:r>
        <w:t xml:space="preserve">For each paper (selected metric), the</w:t>
      </w:r>
      <w:r>
        <w:t xml:space="preserve"> </w:t>
      </w:r>
      <w:r>
        <w:rPr>
          <w:bCs/>
          <w:b/>
        </w:rPr>
        <w:t xml:space="preserve">ellipse</w:t>
      </w:r>
      <w:r>
        <w:t xml:space="preserve"> </w:t>
      </w:r>
      <w:r>
        <w:t xml:space="preserve">is centered at the pair of midpoints</w:t>
      </w:r>
      <w:r>
        <w:t xml:space="preserve"> </w:t>
      </w:r>
      <w:r>
        <w:rPr>
          <w:iCs/>
          <w:i/>
        </w:rPr>
        <w:t xml:space="preserve">(Human, LLM)</w:t>
      </w:r>
      <w:r>
        <w:t xml:space="preserve">. The</w:t>
      </w:r>
      <w:r>
        <w:t xml:space="preserve"> </w:t>
      </w:r>
      <w:r>
        <w:rPr>
          <w:bCs/>
          <w:b/>
        </w:rPr>
        <w:t xml:space="preserve">horizontal radius</w:t>
      </w:r>
      <w:r>
        <w:t xml:space="preserve"> </w:t>
      </w:r>
      <w:r>
        <w:t xml:space="preserve">covers the</w:t>
      </w:r>
      <w:r>
        <w:t xml:space="preserve"> </w:t>
      </w:r>
      <w:r>
        <w:rPr>
          <w:iCs/>
          <w:i/>
        </w:rPr>
        <w:t xml:space="preserve">union</w:t>
      </w:r>
      <w:r>
        <w:t xml:space="preserve"> </w:t>
      </w:r>
      <w:r>
        <w:t xml:space="preserve">of all human evidence for that paper — combining individual raters’ point scores and their CIs — while the</w:t>
      </w:r>
      <w:r>
        <w:t xml:space="preserve"> </w:t>
      </w:r>
      <w:r>
        <w:rPr>
          <w:bCs/>
          <w:b/>
        </w:rPr>
        <w:t xml:space="preserve">vertical radius</w:t>
      </w:r>
      <w:r>
        <w:t xml:space="preserve"> </w:t>
      </w:r>
      <w:r>
        <w:t xml:space="preserve">reflects the LLM CI. This makes the ellipse wide enough to contain every human point horizontally (unless a point lies outside its own stated CI, which is flagged in a diagnostic check).</w:t>
      </w:r>
    </w:p>
    <w:tbl>
      <w:tblPr>
        <w:tblStyle w:val="Table"/>
        <w:tblW w:type="pct" w:w="5000"/>
        <w:tblLook w:firstRow="0" w:lastRow="0" w:firstColumn="0" w:lastColumn="0" w:noHBand="0" w:noVBand="0" w:val="0000"/>
        <w:jc w:val="start"/>
        <w:tblLayout w:type="fixed"/>
      </w:tblPr>
      <w:tblGrid>
        <w:gridCol w:w="7920"/>
      </w:tblGrid>
      <w:tr>
        <w:tc>
          <w:tcPr/>
          <w:bookmarkStart w:id="37" w:name="fig-hist-static"/>
          <w:p>
            <w:pPr>
              <w:pStyle w:val="Compact"/>
              <w:jc w:val="center"/>
            </w:pPr>
            <w:r>
              <w:drawing>
                <wp:inline>
                  <wp:extent cx="5334000" cy="4574318"/>
                  <wp:effectExtent b="0" l="0" r="0" t="0"/>
                  <wp:docPr descr="" title="" id="35" name="Picture"/>
                  <a:graphic>
                    <a:graphicData uri="http://schemas.openxmlformats.org/drawingml/2006/picture">
                      <pic:pic>
                        <pic:nvPicPr>
                          <pic:cNvPr descr="compare_ratings_files/figure-docx/fig-hist-static-output-1.png" id="36" name="Picture"/>
                          <pic:cNvPicPr>
                            <a:picLocks noChangeArrowheads="1" noChangeAspect="1"/>
                          </pic:cNvPicPr>
                        </pic:nvPicPr>
                        <pic:blipFill>
                          <a:blip r:embed="rId34"/>
                          <a:stretch>
                            <a:fillRect/>
                          </a:stretch>
                        </pic:blipFill>
                        <pic:spPr bwMode="auto">
                          <a:xfrm>
                            <a:off x="0" y="0"/>
                            <a:ext cx="5334000" cy="457431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3.2: Distributions by metric. Top: Overall (full width). Bottom: remaining metrics in a 2×3 grid.</w:t>
            </w:r>
          </w:p>
          <w:bookmarkEnd w:id="37"/>
        </w:tc>
      </w:tr>
    </w:tbl>
    <w:bookmarkEnd w:id="38"/>
    <w:bookmarkStart w:id="43" w:name="differences-by-paper-and-metric"/>
    <w:p>
      <w:pPr>
        <w:pStyle w:val="Heading2"/>
      </w:pPr>
      <w:r>
        <w:t xml:space="preserve">3.4 Differences by paper and metric</w:t>
      </w:r>
    </w:p>
    <w:p>
      <w:pPr>
        <w:pStyle w:val="FirstParagraph"/>
      </w:pPr>
      <w:r>
        <w:t xml:space="preserve">For each</w:t>
      </w:r>
      <w:r>
        <w:t xml:space="preserve"> </w:t>
      </w:r>
      <w:r>
        <w:rPr>
          <w:iCs/>
          <w:i/>
        </w:rPr>
        <w:t xml:space="preserve">(paper, metric)</w:t>
      </w:r>
      <w:r>
        <w:t xml:space="preserve">, we plot LLM − Human difference in</w:t>
      </w:r>
      <w:r>
        <w:t xml:space="preserve"> </w:t>
      </w:r>
      <w:hyperlink w:anchor="fig-heatmap-static">
        <w:r>
          <w:rPr>
            <w:rStyle w:val="Hyperlink"/>
          </w:rPr>
          <w:t xml:space="preserve">Figure 3.3</w:t>
        </w:r>
      </w:hyperlink>
      <w:r>
        <w:t xml:space="preserve">. Green means the LLM is lower than the human midpoint; orange means higher.</w:t>
      </w:r>
    </w:p>
    <w:p>
      <w:pPr>
        <w:numPr>
          <w:ilvl w:val="0"/>
          <w:numId w:val="1002"/>
        </w:numPr>
        <w:pStyle w:val="Compact"/>
      </w:pPr>
      <w:r>
        <w:t xml:space="preserve">Vertical stripes (by metric) suggest a metric‑specific bias (LLM systematically up/down on that metric).</w:t>
      </w:r>
      <w:r>
        <w:br/>
      </w:r>
    </w:p>
    <w:p>
      <w:pPr>
        <w:numPr>
          <w:ilvl w:val="0"/>
          <w:numId w:val="1002"/>
        </w:numPr>
        <w:pStyle w:val="Compact"/>
      </w:pPr>
      <w:r>
        <w:t xml:space="preserve">Horizontal stripes (by paper) flag paper‑specific disagreement (LLM consistently above/below for that paper across metrics).</w:t>
      </w:r>
      <w:r>
        <w:br/>
      </w:r>
    </w:p>
    <w:p>
      <w:pPr>
        <w:numPr>
          <w:ilvl w:val="0"/>
          <w:numId w:val="1002"/>
        </w:numPr>
        <w:pStyle w:val="Compact"/>
      </w:pPr>
      <w:r>
        <w:t xml:space="preserve">Isolated bright cells highlight individual outliers worth auditing qualitatively.</w:t>
      </w:r>
    </w:p>
    <w:tbl>
      <w:tblPr>
        <w:tblStyle w:val="Table"/>
        <w:tblW w:type="pct" w:w="5000"/>
        <w:tblLook w:firstRow="0" w:lastRow="0" w:firstColumn="0" w:lastColumn="0" w:noHBand="0" w:noVBand="0" w:val="0000"/>
        <w:jc w:val="start"/>
        <w:tblLayout w:type="fixed"/>
      </w:tblPr>
      <w:tblGrid>
        <w:gridCol w:w="7920"/>
      </w:tblGrid>
      <w:tr>
        <w:tc>
          <w:tcPr/>
          <w:bookmarkStart w:id="42" w:name="fig-heatmap-static"/>
          <w:p>
            <w:pPr>
              <w:pStyle w:val="Compact"/>
              <w:jc w:val="center"/>
            </w:pPr>
            <w:r>
              <w:drawing>
                <wp:inline>
                  <wp:extent cx="5334000" cy="8019060"/>
                  <wp:effectExtent b="0" l="0" r="0" t="0"/>
                  <wp:docPr descr="" title="" id="40" name="Picture"/>
                  <a:graphic>
                    <a:graphicData uri="http://schemas.openxmlformats.org/drawingml/2006/picture">
                      <pic:pic>
                        <pic:nvPicPr>
                          <pic:cNvPr descr="compare_ratings_files/figure-docx/fig-heatmap-static-output-1.png" id="41" name="Picture"/>
                          <pic:cNvPicPr>
                            <a:picLocks noChangeArrowheads="1" noChangeAspect="1"/>
                          </pic:cNvPicPr>
                        </pic:nvPicPr>
                        <pic:blipFill>
                          <a:blip r:embed="rId39"/>
                          <a:stretch>
                            <a:fillRect/>
                          </a:stretch>
                        </pic:blipFill>
                        <pic:spPr bwMode="auto">
                          <a:xfrm>
                            <a:off x="0" y="0"/>
                            <a:ext cx="5334000" cy="80190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3.3: LLM − Human difference by paper × metric (robust, centered scale; rows sorted by signed overall difference).</w:t>
            </w:r>
          </w:p>
          <w:bookmarkEnd w:id="42"/>
        </w:tc>
      </w:tr>
    </w:tbl>
    <w:bookmarkEnd w:id="43"/>
    <w:bookmarkStart w:id="52" w:name="agreement-metrics"/>
    <w:p>
      <w:pPr>
        <w:pStyle w:val="Heading2"/>
      </w:pPr>
      <w:r>
        <w:t xml:space="preserve">3.5 Agreement metrics</w:t>
      </w:r>
    </w:p>
    <w:p>
      <w:pPr>
        <w:pStyle w:val="FirstParagraph"/>
      </w:pPr>
      <w:hyperlink w:anchor="tbl-agreement">
        <w:r>
          <w:rPr>
            <w:rStyle w:val="Hyperlink"/>
          </w:rPr>
          <w:t xml:space="preserve">Table 3.1</w:t>
        </w:r>
      </w:hyperlink>
      <w:r>
        <w:t xml:space="preserve"> </w:t>
      </w:r>
      <w:r>
        <w:t xml:space="preserve">summarizes agreement: Pearson (r) captures linear alignment of levels; Spearman (ρ) captures rank agreement (monotonic relationship), robust to scale differences.</w:t>
      </w:r>
      <w:r>
        <w:t xml:space="preserve"> </w:t>
      </w:r>
      <w:r>
        <w:t xml:space="preserve">We report the mean and median of (LLM − Human) to summarize both average shift and central tendency of the differences and Cohen’s κ (unweighted &amp; quadratic). Because scores are continuous, we discretize both LLM and Human using shared quantile cutpoints (5 bins) and compute the Unweighted κ (exact category agreement beyond chance) and the Quadratic‑weighted κ that penalizes larger disagreements more than smaller ones.</w:t>
      </w:r>
    </w:p>
    <w:p>
      <w:pPr>
        <w:pStyle w:val="BodyText"/>
      </w:pPr>
      <w:r>
        <w:t xml:space="preserve">As another indicator of agreement, we check whether each side’s credible interval contain the other’s point estimate,</w:t>
      </w:r>
      <w:r>
        <w:t xml:space="preserve"> </w:t>
      </w:r>
      <w:hyperlink w:anchor="tbl-coverage">
        <w:r>
          <w:rPr>
            <w:rStyle w:val="Hyperlink"/>
          </w:rPr>
          <w:t xml:space="preserve">Table 3.3</w:t>
        </w:r>
      </w:hyperlink>
      <w:r>
        <w:t xml:space="preserve"> </w:t>
      </w:r>
      <w:r>
        <w:t xml:space="preserve">shows the shares across rating categories.</w:t>
      </w:r>
    </w:p>
    <w:p>
      <w:pPr>
        <w:pStyle w:val="BodyText"/>
      </w:pPr>
      <w:hyperlink w:anchor="tbl-calibration">
        <w:r>
          <w:rPr>
            <w:rStyle w:val="Hyperlink"/>
          </w:rPr>
          <w:t xml:space="preserve">Table 3.2</w:t>
        </w:r>
      </w:hyperlink>
      <w:r>
        <w:t xml:space="preserve"> </w:t>
      </w:r>
      <w:r>
        <w:t xml:space="preserve">shows</w:t>
      </w:r>
      <w:r>
        <w:t xml:space="preserve"> </w:t>
      </w:r>
      <w:r>
        <w:t xml:space="preserve">“</w:t>
      </w:r>
      <w:r>
        <w:t xml:space="preserve">calibration</w:t>
      </w:r>
      <w:r>
        <w:t xml:space="preserve">”</w:t>
      </w:r>
      <w:r>
        <w:t xml:space="preserve"> </w:t>
      </w:r>
      <w:r>
        <w:t xml:space="preserve">results based on a simple linear regression;</w:t>
      </w:r>
      <w:r>
        <w:t xml:space="preserve"> </w:t>
      </w:r>
      <w:hyperlink w:anchor="fig-uncert-vs-error">
        <w:r>
          <w:rPr>
            <w:rStyle w:val="Hyperlink"/>
          </w:rPr>
          <w:t xml:space="preserve">Figure 3.4</w:t>
        </w:r>
      </w:hyperlink>
      <w:r>
        <w:t xml:space="preserve"> </w:t>
      </w:r>
      <w:r>
        <w:t xml:space="preserve">plots the width of human raters CI against the difference in ratings; and</w:t>
      </w:r>
      <w:r>
        <w:t xml:space="preserve"> </w:t>
      </w:r>
      <w:hyperlink w:anchor="tbl-outliers">
        <w:r>
          <w:rPr>
            <w:rStyle w:val="Hyperlink"/>
          </w:rPr>
          <w:t xml:space="preserve">Table 3.4</w:t>
        </w:r>
      </w:hyperlink>
      <w:r>
        <w:t xml:space="preserve"> </w:t>
      </w:r>
      <w:r>
        <w:t xml:space="preserve">lists the papers with the largest aabsolute difference between LLM and human raters.</w:t>
      </w:r>
    </w:p>
    <w:tbl>
      <w:tblPr>
        <w:tblStyle w:val="Table"/>
        <w:tblW w:type="pct" w:w="5000"/>
        <w:tblLook w:firstRow="0" w:lastRow="0" w:firstColumn="0" w:lastColumn="0" w:noHBand="0" w:noVBand="0" w:val="0000"/>
        <w:jc w:val="start"/>
        <w:tblLayout w:type="fixed"/>
      </w:tblPr>
      <w:tblGrid>
        <w:gridCol w:w="7920"/>
      </w:tblGrid>
      <w:tr>
        <w:tc>
          <w:tcPr/>
          <w:bookmarkStart w:id="44" w:name="tbl-agreement"/>
          <w:p>
            <w:pPr>
              <w:jc w:val="center"/>
            </w:pPr>
            <w:pPr>
              <w:jc w:val="start"/>
              <w:spacing w:before="200"/>
              <w:pStyle w:val="ImageCaption"/>
            </w:pPr>
            <w:r>
              <w:t xml:space="preserve">Table 3.1: Agreement metrics by metric (Pearson, Spearman, mean/median bias, κ unweighted/weighted).</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pPr>
                </w:p>
              </w:tc>
              <w:tc>
                <w:tcPr/>
                <w:p>
                  <w:pPr>
                    <w:pStyle w:val="Compact"/>
                    <w:jc w:val="left"/>
                    <w:jc w:val="center"/>
                  </w:pPr>
                  <w:r>
                    <w:t xml:space="preserve">metric</w:t>
                  </w:r>
                </w:p>
              </w:tc>
              <w:tc>
                <w:tcPr/>
                <w:p>
                  <w:pPr>
                    <w:pStyle w:val="Compact"/>
                    <w:jc w:val="left"/>
                    <w:jc w:val="center"/>
                  </w:pPr>
                  <w:r>
                    <w:t xml:space="preserve">n</w:t>
                  </w:r>
                </w:p>
              </w:tc>
              <w:tc>
                <w:tcPr/>
                <w:p>
                  <w:pPr>
                    <w:pStyle w:val="Compact"/>
                    <w:jc w:val="left"/>
                    <w:jc w:val="center"/>
                  </w:pPr>
                  <w:r>
                    <w:t xml:space="preserve">pearson</w:t>
                  </w:r>
                </w:p>
              </w:tc>
              <w:tc>
                <w:tcPr/>
                <w:p>
                  <w:pPr>
                    <w:pStyle w:val="Compact"/>
                    <w:jc w:val="left"/>
                    <w:jc w:val="center"/>
                  </w:pPr>
                  <w:r>
                    <w:t xml:space="preserve">spearman</w:t>
                  </w:r>
                </w:p>
              </w:tc>
              <w:tc>
                <w:tcPr/>
                <w:p>
                  <w:pPr>
                    <w:pStyle w:val="Compact"/>
                    <w:jc w:val="left"/>
                    <w:jc w:val="center"/>
                  </w:pPr>
                  <w:r>
                    <w:t xml:space="preserve">mean_bias</w:t>
                  </w:r>
                </w:p>
              </w:tc>
              <w:tc>
                <w:tcPr/>
                <w:p>
                  <w:pPr>
                    <w:pStyle w:val="Compact"/>
                    <w:jc w:val="left"/>
                    <w:jc w:val="center"/>
                  </w:pPr>
                  <w:r>
                    <w:t xml:space="preserve">median_bias</w:t>
                  </w:r>
                </w:p>
              </w:tc>
              <w:tc>
                <w:tcPr/>
                <w:p>
                  <w:pPr>
                    <w:pStyle w:val="Compact"/>
                    <w:jc w:val="left"/>
                    <w:jc w:val="center"/>
                  </w:pPr>
                  <w:r>
                    <w:t xml:space="preserve">kappa_unwtd</w:t>
                  </w:r>
                </w:p>
              </w:tc>
              <w:tc>
                <w:tcPr/>
                <w:p>
                  <w:pPr>
                    <w:pStyle w:val="Compact"/>
                    <w:jc w:val="left"/>
                    <w:jc w:val="center"/>
                  </w:pPr>
                  <w:r>
                    <w:t xml:space="preserve">kappa_quad</w:t>
                  </w:r>
                </w:p>
              </w:tc>
            </w:tr>
            <w:tr>
              <w:tc>
                <w:tcPr/>
                <w:p>
                  <w:pPr>
                    <w:pStyle w:val="Compact"/>
                    <w:jc w:val="left"/>
                    <w:jc w:val="center"/>
                  </w:pPr>
                  <w:r>
                    <w:t xml:space="preserve">0</w:t>
                  </w:r>
                </w:p>
              </w:tc>
              <w:tc>
                <w:tcPr/>
                <w:p>
                  <w:pPr>
                    <w:pStyle w:val="Compact"/>
                    <w:jc w:val="left"/>
                    <w:jc w:val="center"/>
                  </w:pPr>
                  <w:r>
                    <w:t xml:space="preserve">advancing_knowledge</w:t>
                  </w:r>
                </w:p>
              </w:tc>
              <w:tc>
                <w:tcPr/>
                <w:p>
                  <w:pPr>
                    <w:pStyle w:val="Compact"/>
                    <w:jc w:val="left"/>
                    <w:jc w:val="center"/>
                  </w:pPr>
                  <w:r>
                    <w:t xml:space="preserve">27</w:t>
                  </w:r>
                </w:p>
              </w:tc>
              <w:tc>
                <w:tcPr/>
                <w:p>
                  <w:pPr>
                    <w:pStyle w:val="Compact"/>
                    <w:jc w:val="left"/>
                    <w:jc w:val="center"/>
                  </w:pPr>
                  <w:r>
                    <w:t xml:space="preserve">0.198</w:t>
                  </w:r>
                </w:p>
              </w:tc>
              <w:tc>
                <w:tcPr/>
                <w:p>
                  <w:pPr>
                    <w:pStyle w:val="Compact"/>
                    <w:jc w:val="left"/>
                    <w:jc w:val="center"/>
                  </w:pPr>
                  <w:r>
                    <w:t xml:space="preserve">0.259</w:t>
                  </w:r>
                </w:p>
              </w:tc>
              <w:tc>
                <w:tcPr/>
                <w:p>
                  <w:pPr>
                    <w:pStyle w:val="Compact"/>
                    <w:jc w:val="left"/>
                    <w:jc w:val="center"/>
                  </w:pPr>
                  <w:r>
                    <w:t xml:space="preserve">7.12</w:t>
                  </w:r>
                </w:p>
              </w:tc>
              <w:tc>
                <w:tcPr/>
                <w:p>
                  <w:pPr>
                    <w:pStyle w:val="Compact"/>
                    <w:jc w:val="left"/>
                    <w:jc w:val="center"/>
                  </w:pPr>
                  <w:r>
                    <w:t xml:space="preserve">6.0</w:t>
                  </w:r>
                </w:p>
              </w:tc>
              <w:tc>
                <w:tcPr/>
                <w:p>
                  <w:pPr>
                    <w:pStyle w:val="Compact"/>
                    <w:jc w:val="left"/>
                    <w:jc w:val="center"/>
                  </w:pPr>
                  <w:r>
                    <w:t xml:space="preserve">0.052</w:t>
                  </w:r>
                </w:p>
              </w:tc>
              <w:tc>
                <w:tcPr/>
                <w:p>
                  <w:pPr>
                    <w:pStyle w:val="Compact"/>
                    <w:jc w:val="left"/>
                    <w:jc w:val="center"/>
                  </w:pPr>
                  <w:r>
                    <w:t xml:space="preserve">0.257</w:t>
                  </w:r>
                </w:p>
              </w:tc>
            </w:tr>
            <w:tr>
              <w:tc>
                <w:tcPr/>
                <w:p>
                  <w:pPr>
                    <w:pStyle w:val="Compact"/>
                    <w:jc w:val="left"/>
                    <w:jc w:val="center"/>
                  </w:pPr>
                  <w:r>
                    <w:t xml:space="preserve">1</w:t>
                  </w:r>
                </w:p>
              </w:tc>
              <w:tc>
                <w:tcPr/>
                <w:p>
                  <w:pPr>
                    <w:pStyle w:val="Compact"/>
                    <w:jc w:val="left"/>
                    <w:jc w:val="center"/>
                  </w:pPr>
                  <w:r>
                    <w:t xml:space="preserve">claims_evidence</w:t>
                  </w:r>
                </w:p>
              </w:tc>
              <w:tc>
                <w:tcPr/>
                <w:p>
                  <w:pPr>
                    <w:pStyle w:val="Compact"/>
                    <w:jc w:val="left"/>
                    <w:jc w:val="center"/>
                  </w:pPr>
                  <w:r>
                    <w:t xml:space="preserve">6</w:t>
                  </w:r>
                </w:p>
              </w:tc>
              <w:tc>
                <w:tcPr/>
                <w:p>
                  <w:pPr>
                    <w:pStyle w:val="Compact"/>
                    <w:jc w:val="left"/>
                    <w:jc w:val="center"/>
                  </w:pPr>
                  <w:r>
                    <w:t xml:space="preserve">0.410</w:t>
                  </w:r>
                </w:p>
              </w:tc>
              <w:tc>
                <w:tcPr/>
                <w:p>
                  <w:pPr>
                    <w:pStyle w:val="Compact"/>
                    <w:jc w:val="left"/>
                    <w:jc w:val="center"/>
                  </w:pPr>
                  <w:r>
                    <w:t xml:space="preserve">0.471</w:t>
                  </w:r>
                </w:p>
              </w:tc>
              <w:tc>
                <w:tcPr/>
                <w:p>
                  <w:pPr>
                    <w:pStyle w:val="Compact"/>
                    <w:jc w:val="left"/>
                    <w:jc w:val="center"/>
                  </w:pPr>
                  <w:r>
                    <w:t xml:space="preserve">-3.75</w:t>
                  </w:r>
                </w:p>
              </w:tc>
              <w:tc>
                <w:tcPr/>
                <w:p>
                  <w:pPr>
                    <w:pStyle w:val="Compact"/>
                    <w:jc w:val="left"/>
                    <w:jc w:val="center"/>
                  </w:pPr>
                  <w:r>
                    <w:t xml:space="preserve">-3.0</w:t>
                  </w:r>
                </w:p>
              </w:tc>
              <w:tc>
                <w:tcPr/>
                <w:p>
                  <w:pPr>
                    <w:pStyle w:val="Compact"/>
                    <w:jc w:val="left"/>
                    <w:jc w:val="center"/>
                  </w:pPr>
                  <w:r>
                    <w:t xml:space="preserve">-0.154</w:t>
                  </w:r>
                </w:p>
              </w:tc>
              <w:tc>
                <w:tcPr/>
                <w:p>
                  <w:pPr>
                    <w:pStyle w:val="Compact"/>
                    <w:jc w:val="left"/>
                    <w:jc w:val="center"/>
                  </w:pPr>
                  <w:r>
                    <w:t xml:space="preserve">0.400</w:t>
                  </w:r>
                </w:p>
              </w:tc>
            </w:tr>
            <w:tr>
              <w:tc>
                <w:tcPr/>
                <w:p>
                  <w:pPr>
                    <w:pStyle w:val="Compact"/>
                    <w:jc w:val="left"/>
                    <w:jc w:val="center"/>
                  </w:pPr>
                  <w:r>
                    <w:t xml:space="preserve">2</w:t>
                  </w:r>
                </w:p>
              </w:tc>
              <w:tc>
                <w:tcPr/>
                <w:p>
                  <w:pPr>
                    <w:pStyle w:val="Compact"/>
                    <w:jc w:val="left"/>
                    <w:jc w:val="center"/>
                  </w:pPr>
                  <w:r>
                    <w:t xml:space="preserve">global_relevance</w:t>
                  </w:r>
                </w:p>
              </w:tc>
              <w:tc>
                <w:tcPr/>
                <w:p>
                  <w:pPr>
                    <w:pStyle w:val="Compact"/>
                    <w:jc w:val="left"/>
                    <w:jc w:val="center"/>
                  </w:pPr>
                  <w:r>
                    <w:t xml:space="preserve">28</w:t>
                  </w:r>
                </w:p>
              </w:tc>
              <w:tc>
                <w:tcPr/>
                <w:p>
                  <w:pPr>
                    <w:pStyle w:val="Compact"/>
                    <w:jc w:val="left"/>
                    <w:jc w:val="center"/>
                  </w:pPr>
                  <w:r>
                    <w:t xml:space="preserve">0.135</w:t>
                  </w:r>
                </w:p>
              </w:tc>
              <w:tc>
                <w:tcPr/>
                <w:p>
                  <w:pPr>
                    <w:pStyle w:val="Compact"/>
                    <w:jc w:val="left"/>
                    <w:jc w:val="center"/>
                  </w:pPr>
                  <w:r>
                    <w:t xml:space="preserve">0.109</w:t>
                  </w:r>
                </w:p>
              </w:tc>
              <w:tc>
                <w:tcPr/>
                <w:p>
                  <w:pPr>
                    <w:pStyle w:val="Compact"/>
                    <w:jc w:val="left"/>
                    <w:jc w:val="center"/>
                  </w:pPr>
                  <w:r>
                    <w:t xml:space="preserve">8.21</w:t>
                  </w:r>
                </w:p>
              </w:tc>
              <w:tc>
                <w:tcPr/>
                <w:p>
                  <w:pPr>
                    <w:pStyle w:val="Compact"/>
                    <w:jc w:val="left"/>
                    <w:jc w:val="center"/>
                  </w:pPr>
                  <w:r>
                    <w:t xml:space="preserve">8.5</w:t>
                  </w:r>
                </w:p>
              </w:tc>
              <w:tc>
                <w:tcPr/>
                <w:p>
                  <w:pPr>
                    <w:pStyle w:val="Compact"/>
                    <w:jc w:val="left"/>
                    <w:jc w:val="center"/>
                  </w:pPr>
                  <w:r>
                    <w:t xml:space="preserve">-0.040</w:t>
                  </w:r>
                </w:p>
              </w:tc>
              <w:tc>
                <w:tcPr/>
                <w:p>
                  <w:pPr>
                    <w:pStyle w:val="Compact"/>
                    <w:jc w:val="left"/>
                    <w:jc w:val="center"/>
                  </w:pPr>
                  <w:r>
                    <w:t xml:space="preserve">0.070</w:t>
                  </w:r>
                </w:p>
              </w:tc>
            </w:tr>
            <w:tr>
              <w:tc>
                <w:tcPr/>
                <w:p>
                  <w:pPr>
                    <w:pStyle w:val="Compact"/>
                    <w:jc w:val="left"/>
                    <w:jc w:val="center"/>
                  </w:pPr>
                  <w:r>
                    <w:t xml:space="preserve">3</w:t>
                  </w:r>
                </w:p>
              </w:tc>
              <w:tc>
                <w:tcPr/>
                <w:p>
                  <w:pPr>
                    <w:pStyle w:val="Compact"/>
                    <w:jc w:val="left"/>
                    <w:jc w:val="center"/>
                  </w:pPr>
                  <w:r>
                    <w:t xml:space="preserve">logic_communication</w:t>
                  </w:r>
                </w:p>
              </w:tc>
              <w:tc>
                <w:tcPr/>
                <w:p>
                  <w:pPr>
                    <w:pStyle w:val="Compact"/>
                    <w:jc w:val="left"/>
                    <w:jc w:val="center"/>
                  </w:pPr>
                  <w:r>
                    <w:t xml:space="preserve">28</w:t>
                  </w:r>
                </w:p>
              </w:tc>
              <w:tc>
                <w:tcPr/>
                <w:p>
                  <w:pPr>
                    <w:pStyle w:val="Compact"/>
                    <w:jc w:val="left"/>
                    <w:jc w:val="center"/>
                  </w:pPr>
                  <w:r>
                    <w:t xml:space="preserve">0.001</w:t>
                  </w:r>
                </w:p>
              </w:tc>
              <w:tc>
                <w:tcPr/>
                <w:p>
                  <w:pPr>
                    <w:pStyle w:val="Compact"/>
                    <w:jc w:val="left"/>
                    <w:jc w:val="center"/>
                  </w:pPr>
                  <w:r>
                    <w:t xml:space="preserve">0.130</w:t>
                  </w:r>
                </w:p>
              </w:tc>
              <w:tc>
                <w:tcPr/>
                <w:p>
                  <w:pPr>
                    <w:pStyle w:val="Compact"/>
                    <w:jc w:val="left"/>
                    <w:jc w:val="center"/>
                  </w:pPr>
                  <w:r>
                    <w:t xml:space="preserve">10.01</w:t>
                  </w:r>
                </w:p>
              </w:tc>
              <w:tc>
                <w:tcPr/>
                <w:p>
                  <w:pPr>
                    <w:pStyle w:val="Compact"/>
                    <w:jc w:val="left"/>
                    <w:jc w:val="center"/>
                  </w:pPr>
                  <w:r>
                    <w:t xml:space="preserve">9.0</w:t>
                  </w:r>
                </w:p>
              </w:tc>
              <w:tc>
                <w:tcPr/>
                <w:p>
                  <w:pPr>
                    <w:pStyle w:val="Compact"/>
                    <w:jc w:val="left"/>
                    <w:jc w:val="center"/>
                  </w:pPr>
                  <w:r>
                    <w:t xml:space="preserve">-0.029</w:t>
                  </w:r>
                </w:p>
              </w:tc>
              <w:tc>
                <w:tcPr/>
                <w:p>
                  <w:pPr>
                    <w:pStyle w:val="Compact"/>
                    <w:jc w:val="left"/>
                    <w:jc w:val="center"/>
                  </w:pPr>
                  <w:r>
                    <w:t xml:space="preserve">0.041</w:t>
                  </w:r>
                </w:p>
              </w:tc>
            </w:tr>
            <w:tr>
              <w:tc>
                <w:tcPr/>
                <w:p>
                  <w:pPr>
                    <w:pStyle w:val="Compact"/>
                    <w:jc w:val="left"/>
                    <w:jc w:val="center"/>
                  </w:pPr>
                  <w:r>
                    <w:t xml:space="preserve">4</w:t>
                  </w:r>
                </w:p>
              </w:tc>
              <w:tc>
                <w:tcPr/>
                <w:p>
                  <w:pPr>
                    <w:pStyle w:val="Compact"/>
                    <w:jc w:val="left"/>
                    <w:jc w:val="center"/>
                  </w:pPr>
                  <w:r>
                    <w:t xml:space="preserve">methods</w:t>
                  </w:r>
                </w:p>
              </w:tc>
              <w:tc>
                <w:tcPr/>
                <w:p>
                  <w:pPr>
                    <w:pStyle w:val="Compact"/>
                    <w:jc w:val="left"/>
                    <w:jc w:val="center"/>
                  </w:pPr>
                  <w:r>
                    <w:t xml:space="preserve">27</w:t>
                  </w:r>
                </w:p>
              </w:tc>
              <w:tc>
                <w:tcPr/>
                <w:p>
                  <w:pPr>
                    <w:pStyle w:val="Compact"/>
                    <w:jc w:val="left"/>
                    <w:jc w:val="center"/>
                  </w:pPr>
                  <w:r>
                    <w:t xml:space="preserve">0.309</w:t>
                  </w:r>
                </w:p>
              </w:tc>
              <w:tc>
                <w:tcPr/>
                <w:p>
                  <w:pPr>
                    <w:pStyle w:val="Compact"/>
                    <w:jc w:val="left"/>
                    <w:jc w:val="center"/>
                  </w:pPr>
                  <w:r>
                    <w:t xml:space="preserve">0.403</w:t>
                  </w:r>
                </w:p>
              </w:tc>
              <w:tc>
                <w:tcPr/>
                <w:p>
                  <w:pPr>
                    <w:pStyle w:val="Compact"/>
                    <w:jc w:val="left"/>
                    <w:jc w:val="center"/>
                  </w:pPr>
                  <w:r>
                    <w:t xml:space="preserve">6.60</w:t>
                  </w:r>
                </w:p>
              </w:tc>
              <w:tc>
                <w:tcPr/>
                <w:p>
                  <w:pPr>
                    <w:pStyle w:val="Compact"/>
                    <w:jc w:val="left"/>
                    <w:jc w:val="center"/>
                  </w:pPr>
                  <w:r>
                    <w:t xml:space="preserve">5.5</w:t>
                  </w:r>
                </w:p>
              </w:tc>
              <w:tc>
                <w:tcPr/>
                <w:p>
                  <w:pPr>
                    <w:pStyle w:val="Compact"/>
                    <w:jc w:val="left"/>
                    <w:jc w:val="center"/>
                  </w:pPr>
                  <w:r>
                    <w:t xml:space="preserve">0.148</w:t>
                  </w:r>
                </w:p>
              </w:tc>
              <w:tc>
                <w:tcPr/>
                <w:p>
                  <w:pPr>
                    <w:pStyle w:val="Compact"/>
                    <w:jc w:val="left"/>
                    <w:jc w:val="center"/>
                  </w:pPr>
                  <w:r>
                    <w:t xml:space="preserve">0.288</w:t>
                  </w:r>
                </w:p>
              </w:tc>
            </w:tr>
            <w:tr>
              <w:tc>
                <w:tcPr/>
                <w:p>
                  <w:pPr>
                    <w:pStyle w:val="Compact"/>
                    <w:jc w:val="left"/>
                    <w:jc w:val="center"/>
                  </w:pPr>
                  <w:r>
                    <w:t xml:space="preserve">5</w:t>
                  </w:r>
                </w:p>
              </w:tc>
              <w:tc>
                <w:tcPr/>
                <w:p>
                  <w:pPr>
                    <w:pStyle w:val="Compact"/>
                    <w:jc w:val="left"/>
                    <w:jc w:val="center"/>
                  </w:pPr>
                  <w:r>
                    <w:t xml:space="preserve">open_science</w:t>
                  </w:r>
                </w:p>
              </w:tc>
              <w:tc>
                <w:tcPr/>
                <w:p>
                  <w:pPr>
                    <w:pStyle w:val="Compact"/>
                    <w:jc w:val="left"/>
                    <w:jc w:val="center"/>
                  </w:pPr>
                  <w:r>
                    <w:t xml:space="preserve">28</w:t>
                  </w:r>
                </w:p>
              </w:tc>
              <w:tc>
                <w:tcPr/>
                <w:p>
                  <w:pPr>
                    <w:pStyle w:val="Compact"/>
                    <w:jc w:val="left"/>
                    <w:jc w:val="center"/>
                  </w:pPr>
                  <w:r>
                    <w:t xml:space="preserve">0.138</w:t>
                  </w:r>
                </w:p>
              </w:tc>
              <w:tc>
                <w:tcPr/>
                <w:p>
                  <w:pPr>
                    <w:pStyle w:val="Compact"/>
                    <w:jc w:val="left"/>
                    <w:jc w:val="center"/>
                  </w:pPr>
                  <w:r>
                    <w:t xml:space="preserve">0.103</w:t>
                  </w:r>
                </w:p>
              </w:tc>
              <w:tc>
                <w:tcPr/>
                <w:p>
                  <w:pPr>
                    <w:pStyle w:val="Compact"/>
                    <w:jc w:val="left"/>
                    <w:jc w:val="center"/>
                  </w:pPr>
                  <w:r>
                    <w:t xml:space="preserve">-6.01</w:t>
                  </w:r>
                </w:p>
              </w:tc>
              <w:tc>
                <w:tcPr/>
                <w:p>
                  <w:pPr>
                    <w:pStyle w:val="Compact"/>
                    <w:jc w:val="left"/>
                    <w:jc w:val="center"/>
                  </w:pPr>
                  <w:r>
                    <w:t xml:space="preserve">-7.0</w:t>
                  </w:r>
                </w:p>
              </w:tc>
              <w:tc>
                <w:tcPr/>
                <w:p>
                  <w:pPr>
                    <w:pStyle w:val="Compact"/>
                    <w:jc w:val="left"/>
                    <w:jc w:val="center"/>
                  </w:pPr>
                  <w:r>
                    <w:t xml:space="preserve">0.009</w:t>
                  </w:r>
                </w:p>
              </w:tc>
              <w:tc>
                <w:tcPr/>
                <w:p>
                  <w:pPr>
                    <w:pStyle w:val="Compact"/>
                    <w:jc w:val="left"/>
                    <w:jc w:val="center"/>
                  </w:pPr>
                  <w:r>
                    <w:t xml:space="preserve">0.137</w:t>
                  </w:r>
                </w:p>
              </w:tc>
            </w:tr>
            <w:tr>
              <w:tc>
                <w:tcPr/>
                <w:p>
                  <w:pPr>
                    <w:pStyle w:val="Compact"/>
                    <w:jc w:val="left"/>
                    <w:jc w:val="center"/>
                  </w:pPr>
                  <w:r>
                    <w:t xml:space="preserve">6</w:t>
                  </w:r>
                </w:p>
              </w:tc>
              <w:tc>
                <w:tcPr/>
                <w:p>
                  <w:pPr>
                    <w:pStyle w:val="Compact"/>
                    <w:jc w:val="left"/>
                    <w:jc w:val="center"/>
                  </w:pPr>
                  <w:r>
                    <w:t xml:space="preserve">overall</w:t>
                  </w:r>
                </w:p>
              </w:tc>
              <w:tc>
                <w:tcPr/>
                <w:p>
                  <w:pPr>
                    <w:pStyle w:val="Compact"/>
                    <w:jc w:val="left"/>
                    <w:jc w:val="center"/>
                  </w:pPr>
                  <w:r>
                    <w:t xml:space="preserve">28</w:t>
                  </w:r>
                </w:p>
              </w:tc>
              <w:tc>
                <w:tcPr/>
                <w:p>
                  <w:pPr>
                    <w:pStyle w:val="Compact"/>
                    <w:jc w:val="left"/>
                    <w:jc w:val="center"/>
                  </w:pPr>
                  <w:r>
                    <w:t xml:space="preserve">0.280</w:t>
                  </w:r>
                </w:p>
              </w:tc>
              <w:tc>
                <w:tcPr/>
                <w:p>
                  <w:pPr>
                    <w:pStyle w:val="Compact"/>
                    <w:jc w:val="left"/>
                    <w:jc w:val="center"/>
                  </w:pPr>
                  <w:r>
                    <w:t xml:space="preserve">0.309</w:t>
                  </w:r>
                </w:p>
              </w:tc>
              <w:tc>
                <w:tcPr/>
                <w:p>
                  <w:pPr>
                    <w:pStyle w:val="Compact"/>
                    <w:jc w:val="left"/>
                    <w:jc w:val="center"/>
                  </w:pPr>
                  <w:r>
                    <w:t xml:space="preserve">1.64</w:t>
                  </w:r>
                </w:p>
              </w:tc>
              <w:tc>
                <w:tcPr/>
                <w:p>
                  <w:pPr>
                    <w:pStyle w:val="Compact"/>
                    <w:jc w:val="left"/>
                    <w:jc w:val="center"/>
                  </w:pPr>
                  <w:r>
                    <w:t xml:space="preserve">1.0</w:t>
                  </w:r>
                </w:p>
              </w:tc>
              <w:tc>
                <w:tcPr/>
                <w:p>
                  <w:pPr>
                    <w:pStyle w:val="Compact"/>
                    <w:jc w:val="left"/>
                    <w:jc w:val="center"/>
                  </w:pPr>
                  <w:r>
                    <w:t xml:space="preserve">0.125</w:t>
                  </w:r>
                </w:p>
              </w:tc>
              <w:tc>
                <w:tcPr/>
                <w:p>
                  <w:pPr>
                    <w:pStyle w:val="Compact"/>
                    <w:jc w:val="left"/>
                    <w:jc w:val="center"/>
                  </w:pPr>
                  <w:r>
                    <w:t xml:space="preserve">0.374</w:t>
                  </w:r>
                </w:p>
              </w:tc>
            </w:tr>
          </w:tbl>
          <w:bookmarkEnd w:id="44"/>
          <w:p/>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5" w:name="tbl-calibration"/>
          <w:p>
            <w:pPr>
              <w:jc w:val="center"/>
            </w:pPr>
            <w:pPr>
              <w:jc w:val="start"/>
              <w:spacing w:before="200"/>
              <w:pStyle w:val="ImageCaption"/>
            </w:pPr>
            <w:r>
              <w:t xml:space="preserve">Table 3.2: Calibration of LLM to Human by metric (Human ≈ intercept + slope·LLM). Includes pre-/post- MAD.</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pPr>
                </w:p>
              </w:tc>
              <w:tc>
                <w:tcPr/>
                <w:p>
                  <w:pPr>
                    <w:pStyle w:val="Compact"/>
                    <w:jc w:val="left"/>
                    <w:jc w:val="center"/>
                  </w:pPr>
                  <w:r>
                    <w:t xml:space="preserve">metric</w:t>
                  </w:r>
                </w:p>
              </w:tc>
              <w:tc>
                <w:tcPr/>
                <w:p>
                  <w:pPr>
                    <w:pStyle w:val="Compact"/>
                    <w:jc w:val="left"/>
                    <w:jc w:val="center"/>
                  </w:pPr>
                  <w:r>
                    <w:t xml:space="preserve">n</w:t>
                  </w:r>
                </w:p>
              </w:tc>
              <w:tc>
                <w:tcPr/>
                <w:p>
                  <w:pPr>
                    <w:pStyle w:val="Compact"/>
                    <w:jc w:val="left"/>
                    <w:jc w:val="center"/>
                  </w:pPr>
                  <w:r>
                    <w:t xml:space="preserve">slope</w:t>
                  </w:r>
                </w:p>
              </w:tc>
              <w:tc>
                <w:tcPr/>
                <w:p>
                  <w:pPr>
                    <w:pStyle w:val="Compact"/>
                    <w:jc w:val="left"/>
                    <w:jc w:val="center"/>
                  </w:pPr>
                  <w:r>
                    <w:t xml:space="preserve">intercept</w:t>
                  </w:r>
                </w:p>
              </w:tc>
              <w:tc>
                <w:tcPr/>
                <w:p>
                  <w:pPr>
                    <w:pStyle w:val="Compact"/>
                    <w:jc w:val="left"/>
                    <w:jc w:val="center"/>
                  </w:pPr>
                  <w:r>
                    <w:t xml:space="preserve">r2</w:t>
                  </w:r>
                </w:p>
              </w:tc>
              <w:tc>
                <w:tcPr/>
                <w:p>
                  <w:pPr>
                    <w:pStyle w:val="Compact"/>
                    <w:jc w:val="left"/>
                    <w:jc w:val="center"/>
                  </w:pPr>
                  <w:r>
                    <w:t xml:space="preserve">MAD_pre</w:t>
                  </w:r>
                </w:p>
              </w:tc>
              <w:tc>
                <w:tcPr/>
                <w:p>
                  <w:pPr>
                    <w:pStyle w:val="Compact"/>
                    <w:jc w:val="left"/>
                    <w:jc w:val="center"/>
                  </w:pPr>
                  <w:r>
                    <w:t xml:space="preserve">MAD_post</w:t>
                  </w:r>
                </w:p>
              </w:tc>
              <w:tc>
                <w:tcPr/>
                <w:p>
                  <w:pPr>
                    <w:pStyle w:val="Compact"/>
                    <w:jc w:val="left"/>
                    <w:jc w:val="center"/>
                  </w:pPr>
                  <w:r>
                    <w:t xml:space="preserve">MAD_delta</w:t>
                  </w:r>
                </w:p>
              </w:tc>
            </w:tr>
            <w:tr>
              <w:tc>
                <w:tcPr/>
                <w:p>
                  <w:pPr>
                    <w:pStyle w:val="Compact"/>
                    <w:jc w:val="left"/>
                    <w:jc w:val="center"/>
                  </w:pPr>
                  <w:r>
                    <w:t xml:space="preserve">0</w:t>
                  </w:r>
                </w:p>
              </w:tc>
              <w:tc>
                <w:tcPr/>
                <w:p>
                  <w:pPr>
                    <w:pStyle w:val="Compact"/>
                    <w:jc w:val="left"/>
                    <w:jc w:val="center"/>
                  </w:pPr>
                  <w:r>
                    <w:t xml:space="preserve">advancing_knowledge</w:t>
                  </w:r>
                </w:p>
              </w:tc>
              <w:tc>
                <w:tcPr/>
                <w:p>
                  <w:pPr>
                    <w:pStyle w:val="Compact"/>
                    <w:jc w:val="left"/>
                    <w:jc w:val="center"/>
                  </w:pPr>
                  <w:r>
                    <w:t xml:space="preserve">27</w:t>
                  </w:r>
                </w:p>
              </w:tc>
              <w:tc>
                <w:tcPr/>
                <w:p>
                  <w:pPr>
                    <w:pStyle w:val="Compact"/>
                    <w:jc w:val="left"/>
                    <w:jc w:val="center"/>
                  </w:pPr>
                  <w:r>
                    <w:t xml:space="preserve">0.284</w:t>
                  </w:r>
                </w:p>
              </w:tc>
              <w:tc>
                <w:tcPr/>
                <w:p>
                  <w:pPr>
                    <w:pStyle w:val="Compact"/>
                    <w:jc w:val="left"/>
                    <w:jc w:val="center"/>
                  </w:pPr>
                  <w:r>
                    <w:t xml:space="preserve">50.232</w:t>
                  </w:r>
                </w:p>
              </w:tc>
              <w:tc>
                <w:tcPr/>
                <w:p>
                  <w:pPr>
                    <w:pStyle w:val="Compact"/>
                    <w:jc w:val="left"/>
                    <w:jc w:val="center"/>
                  </w:pPr>
                  <w:r>
                    <w:t xml:space="preserve">0.039</w:t>
                  </w:r>
                </w:p>
              </w:tc>
              <w:tc>
                <w:tcPr/>
                <w:p>
                  <w:pPr>
                    <w:pStyle w:val="Compact"/>
                    <w:jc w:val="left"/>
                    <w:jc w:val="center"/>
                  </w:pPr>
                  <w:r>
                    <w:t xml:space="preserve">11.216</w:t>
                  </w:r>
                </w:p>
              </w:tc>
              <w:tc>
                <w:tcPr/>
                <w:p>
                  <w:pPr>
                    <w:pStyle w:val="Compact"/>
                    <w:jc w:val="left"/>
                    <w:jc w:val="center"/>
                  </w:pPr>
                  <w:r>
                    <w:t xml:space="preserve">8.812</w:t>
                  </w:r>
                </w:p>
              </w:tc>
              <w:tc>
                <w:tcPr/>
                <w:p>
                  <w:pPr>
                    <w:pStyle w:val="Compact"/>
                    <w:jc w:val="left"/>
                    <w:jc w:val="center"/>
                  </w:pPr>
                  <w:r>
                    <w:t xml:space="preserve">2.404</w:t>
                  </w:r>
                </w:p>
              </w:tc>
            </w:tr>
            <w:tr>
              <w:tc>
                <w:tcPr/>
                <w:p>
                  <w:pPr>
                    <w:pStyle w:val="Compact"/>
                    <w:jc w:val="left"/>
                    <w:jc w:val="center"/>
                  </w:pPr>
                  <w:r>
                    <w:t xml:space="preserve">1</w:t>
                  </w:r>
                </w:p>
              </w:tc>
              <w:tc>
                <w:tcPr/>
                <w:p>
                  <w:pPr>
                    <w:pStyle w:val="Compact"/>
                    <w:jc w:val="left"/>
                    <w:jc w:val="center"/>
                  </w:pPr>
                  <w:r>
                    <w:t xml:space="preserve">claims_evidence</w:t>
                  </w:r>
                </w:p>
              </w:tc>
              <w:tc>
                <w:tcPr/>
                <w:p>
                  <w:pPr>
                    <w:pStyle w:val="Compact"/>
                    <w:jc w:val="left"/>
                    <w:jc w:val="center"/>
                  </w:pPr>
                  <w:r>
                    <w:t xml:space="preserve">6</w:t>
                  </w:r>
                </w:p>
              </w:tc>
              <w:tc>
                <w:tcPr/>
                <w:p>
                  <w:pPr>
                    <w:pStyle w:val="Compact"/>
                    <w:jc w:val="left"/>
                    <w:jc w:val="center"/>
                  </w:pPr>
                  <w:r>
                    <w:t xml:space="preserve">0.220</w:t>
                  </w:r>
                </w:p>
              </w:tc>
              <w:tc>
                <w:tcPr/>
                <w:p>
                  <w:pPr>
                    <w:pStyle w:val="Compact"/>
                    <w:jc w:val="left"/>
                    <w:jc w:val="center"/>
                  </w:pPr>
                  <w:r>
                    <w:t xml:space="preserve">61.234</w:t>
                  </w:r>
                </w:p>
              </w:tc>
              <w:tc>
                <w:tcPr/>
                <w:p>
                  <w:pPr>
                    <w:pStyle w:val="Compact"/>
                    <w:jc w:val="left"/>
                    <w:jc w:val="center"/>
                  </w:pPr>
                  <w:r>
                    <w:t xml:space="preserve">0.168</w:t>
                  </w:r>
                </w:p>
              </w:tc>
              <w:tc>
                <w:tcPr/>
                <w:p>
                  <w:pPr>
                    <w:pStyle w:val="Compact"/>
                    <w:jc w:val="left"/>
                    <w:jc w:val="center"/>
                  </w:pPr>
                  <w:r>
                    <w:t xml:space="preserve">11.250</w:t>
                  </w:r>
                </w:p>
              </w:tc>
              <w:tc>
                <w:tcPr/>
                <w:p>
                  <w:pPr>
                    <w:pStyle w:val="Compact"/>
                    <w:jc w:val="left"/>
                    <w:jc w:val="center"/>
                  </w:pPr>
                  <w:r>
                    <w:t xml:space="preserve">5.859</w:t>
                  </w:r>
                </w:p>
              </w:tc>
              <w:tc>
                <w:tcPr/>
                <w:p>
                  <w:pPr>
                    <w:pStyle w:val="Compact"/>
                    <w:jc w:val="left"/>
                    <w:jc w:val="center"/>
                  </w:pPr>
                  <w:r>
                    <w:t xml:space="preserve">5.391</w:t>
                  </w:r>
                </w:p>
              </w:tc>
            </w:tr>
            <w:tr>
              <w:tc>
                <w:tcPr/>
                <w:p>
                  <w:pPr>
                    <w:pStyle w:val="Compact"/>
                    <w:jc w:val="left"/>
                    <w:jc w:val="center"/>
                  </w:pPr>
                  <w:r>
                    <w:t xml:space="preserve">2</w:t>
                  </w:r>
                </w:p>
              </w:tc>
              <w:tc>
                <w:tcPr/>
                <w:p>
                  <w:pPr>
                    <w:pStyle w:val="Compact"/>
                    <w:jc w:val="left"/>
                    <w:jc w:val="center"/>
                  </w:pPr>
                  <w:r>
                    <w:t xml:space="preserve">global_relevance</w:t>
                  </w:r>
                </w:p>
              </w:tc>
              <w:tc>
                <w:tcPr/>
                <w:p>
                  <w:pPr>
                    <w:pStyle w:val="Compact"/>
                    <w:jc w:val="left"/>
                    <w:jc w:val="center"/>
                  </w:pPr>
                  <w:r>
                    <w:t xml:space="preserve">28</w:t>
                  </w:r>
                </w:p>
              </w:tc>
              <w:tc>
                <w:tcPr/>
                <w:p>
                  <w:pPr>
                    <w:pStyle w:val="Compact"/>
                    <w:jc w:val="left"/>
                    <w:jc w:val="center"/>
                  </w:pPr>
                  <w:r>
                    <w:t xml:space="preserve">0.255</w:t>
                  </w:r>
                </w:p>
              </w:tc>
              <w:tc>
                <w:tcPr/>
                <w:p>
                  <w:pPr>
                    <w:pStyle w:val="Compact"/>
                    <w:jc w:val="left"/>
                    <w:jc w:val="center"/>
                  </w:pPr>
                  <w:r>
                    <w:t xml:space="preserve">53.573</w:t>
                  </w:r>
                </w:p>
              </w:tc>
              <w:tc>
                <w:tcPr/>
                <w:p>
                  <w:pPr>
                    <w:pStyle w:val="Compact"/>
                    <w:jc w:val="left"/>
                    <w:jc w:val="center"/>
                  </w:pPr>
                  <w:r>
                    <w:t xml:space="preserve">0.018</w:t>
                  </w:r>
                </w:p>
              </w:tc>
              <w:tc>
                <w:tcPr/>
                <w:p>
                  <w:pPr>
                    <w:pStyle w:val="Compact"/>
                    <w:jc w:val="left"/>
                    <w:jc w:val="center"/>
                  </w:pPr>
                  <w:r>
                    <w:t xml:space="preserve">14.589</w:t>
                  </w:r>
                </w:p>
              </w:tc>
              <w:tc>
                <w:tcPr/>
                <w:p>
                  <w:pPr>
                    <w:pStyle w:val="Compact"/>
                    <w:jc w:val="left"/>
                    <w:jc w:val="center"/>
                  </w:pPr>
                  <w:r>
                    <w:t xml:space="preserve">12.000</w:t>
                  </w:r>
                </w:p>
              </w:tc>
              <w:tc>
                <w:tcPr/>
                <w:p>
                  <w:pPr>
                    <w:pStyle w:val="Compact"/>
                    <w:jc w:val="left"/>
                    <w:jc w:val="center"/>
                  </w:pPr>
                  <w:r>
                    <w:t xml:space="preserve">2.589</w:t>
                  </w:r>
                </w:p>
              </w:tc>
            </w:tr>
            <w:tr>
              <w:tc>
                <w:tcPr/>
                <w:p>
                  <w:pPr>
                    <w:pStyle w:val="Compact"/>
                    <w:jc w:val="left"/>
                    <w:jc w:val="center"/>
                  </w:pPr>
                  <w:r>
                    <w:t xml:space="preserve">3</w:t>
                  </w:r>
                </w:p>
              </w:tc>
              <w:tc>
                <w:tcPr/>
                <w:p>
                  <w:pPr>
                    <w:pStyle w:val="Compact"/>
                    <w:jc w:val="left"/>
                    <w:jc w:val="center"/>
                  </w:pPr>
                  <w:r>
                    <w:t xml:space="preserve">logic_communication</w:t>
                  </w:r>
                </w:p>
              </w:tc>
              <w:tc>
                <w:tcPr/>
                <w:p>
                  <w:pPr>
                    <w:pStyle w:val="Compact"/>
                    <w:jc w:val="left"/>
                    <w:jc w:val="center"/>
                  </w:pPr>
                  <w:r>
                    <w:t xml:space="preserve">28</w:t>
                  </w:r>
                </w:p>
              </w:tc>
              <w:tc>
                <w:tcPr/>
                <w:p>
                  <w:pPr>
                    <w:pStyle w:val="Compact"/>
                    <w:jc w:val="left"/>
                    <w:jc w:val="center"/>
                  </w:pPr>
                  <w:r>
                    <w:t xml:space="preserve">0.002</w:t>
                  </w:r>
                </w:p>
              </w:tc>
              <w:tc>
                <w:tcPr/>
                <w:p>
                  <w:pPr>
                    <w:pStyle w:val="Compact"/>
                    <w:jc w:val="left"/>
                    <w:jc w:val="center"/>
                  </w:pPr>
                  <w:r>
                    <w:t xml:space="preserve">72.823</w:t>
                  </w:r>
                </w:p>
              </w:tc>
              <w:tc>
                <w:tcPr/>
                <w:p>
                  <w:pPr>
                    <w:pStyle w:val="Compact"/>
                    <w:jc w:val="left"/>
                    <w:jc w:val="center"/>
                  </w:pPr>
                  <w:r>
                    <w:t xml:space="preserve">0.000</w:t>
                  </w:r>
                </w:p>
              </w:tc>
              <w:tc>
                <w:tcPr/>
                <w:p>
                  <w:pPr>
                    <w:pStyle w:val="Compact"/>
                    <w:jc w:val="left"/>
                    <w:jc w:val="center"/>
                  </w:pPr>
                  <w:r>
                    <w:t xml:space="preserve">13.464</w:t>
                  </w:r>
                </w:p>
              </w:tc>
              <w:tc>
                <w:tcPr/>
                <w:p>
                  <w:pPr>
                    <w:pStyle w:val="Compact"/>
                    <w:jc w:val="left"/>
                    <w:jc w:val="center"/>
                  </w:pPr>
                  <w:r>
                    <w:t xml:space="preserve">9.802</w:t>
                  </w:r>
                </w:p>
              </w:tc>
              <w:tc>
                <w:tcPr/>
                <w:p>
                  <w:pPr>
                    <w:pStyle w:val="Compact"/>
                    <w:jc w:val="left"/>
                    <w:jc w:val="center"/>
                  </w:pPr>
                  <w:r>
                    <w:t xml:space="preserve">3.663</w:t>
                  </w:r>
                </w:p>
              </w:tc>
            </w:tr>
            <w:tr>
              <w:tc>
                <w:tcPr/>
                <w:p>
                  <w:pPr>
                    <w:pStyle w:val="Compact"/>
                    <w:jc w:val="left"/>
                    <w:jc w:val="center"/>
                  </w:pPr>
                  <w:r>
                    <w:t xml:space="preserve">4</w:t>
                  </w:r>
                </w:p>
              </w:tc>
              <w:tc>
                <w:tcPr/>
                <w:p>
                  <w:pPr>
                    <w:pStyle w:val="Compact"/>
                    <w:jc w:val="left"/>
                    <w:jc w:val="center"/>
                  </w:pPr>
                  <w:r>
                    <w:t xml:space="preserve">methods</w:t>
                  </w:r>
                </w:p>
              </w:tc>
              <w:tc>
                <w:tcPr/>
                <w:p>
                  <w:pPr>
                    <w:pStyle w:val="Compact"/>
                    <w:jc w:val="left"/>
                    <w:jc w:val="center"/>
                  </w:pPr>
                  <w:r>
                    <w:t xml:space="preserve">27</w:t>
                  </w:r>
                </w:p>
              </w:tc>
              <w:tc>
                <w:tcPr/>
                <w:p>
                  <w:pPr>
                    <w:pStyle w:val="Compact"/>
                    <w:jc w:val="left"/>
                    <w:jc w:val="center"/>
                  </w:pPr>
                  <w:r>
                    <w:t xml:space="preserve">0.404</w:t>
                  </w:r>
                </w:p>
              </w:tc>
              <w:tc>
                <w:tcPr/>
                <w:p>
                  <w:pPr>
                    <w:pStyle w:val="Compact"/>
                    <w:jc w:val="left"/>
                    <w:jc w:val="center"/>
                  </w:pPr>
                  <w:r>
                    <w:t xml:space="preserve">39.774</w:t>
                  </w:r>
                </w:p>
              </w:tc>
              <w:tc>
                <w:tcPr/>
                <w:p>
                  <w:pPr>
                    <w:pStyle w:val="Compact"/>
                    <w:jc w:val="left"/>
                    <w:jc w:val="center"/>
                  </w:pPr>
                  <w:r>
                    <w:t xml:space="preserve">0.096</w:t>
                  </w:r>
                </w:p>
              </w:tc>
              <w:tc>
                <w:tcPr/>
                <w:p>
                  <w:pPr>
                    <w:pStyle w:val="Compact"/>
                    <w:jc w:val="left"/>
                    <w:jc w:val="center"/>
                  </w:pPr>
                  <w:r>
                    <w:t xml:space="preserve">12.099</w:t>
                  </w:r>
                </w:p>
              </w:tc>
              <w:tc>
                <w:tcPr/>
                <w:p>
                  <w:pPr>
                    <w:pStyle w:val="Compact"/>
                    <w:jc w:val="left"/>
                    <w:jc w:val="center"/>
                  </w:pPr>
                  <w:r>
                    <w:t xml:space="preserve">9.427</w:t>
                  </w:r>
                </w:p>
              </w:tc>
              <w:tc>
                <w:tcPr/>
                <w:p>
                  <w:pPr>
                    <w:pStyle w:val="Compact"/>
                    <w:jc w:val="left"/>
                    <w:jc w:val="center"/>
                  </w:pPr>
                  <w:r>
                    <w:t xml:space="preserve">2.672</w:t>
                  </w:r>
                </w:p>
              </w:tc>
            </w:tr>
            <w:tr>
              <w:tc>
                <w:tcPr/>
                <w:p>
                  <w:pPr>
                    <w:pStyle w:val="Compact"/>
                    <w:jc w:val="left"/>
                    <w:jc w:val="center"/>
                  </w:pPr>
                  <w:r>
                    <w:t xml:space="preserve">5</w:t>
                  </w:r>
                </w:p>
              </w:tc>
              <w:tc>
                <w:tcPr/>
                <w:p>
                  <w:pPr>
                    <w:pStyle w:val="Compact"/>
                    <w:jc w:val="left"/>
                    <w:jc w:val="center"/>
                  </w:pPr>
                  <w:r>
                    <w:t xml:space="preserve">open_science</w:t>
                  </w:r>
                </w:p>
              </w:tc>
              <w:tc>
                <w:tcPr/>
                <w:p>
                  <w:pPr>
                    <w:pStyle w:val="Compact"/>
                    <w:jc w:val="left"/>
                    <w:jc w:val="center"/>
                  </w:pPr>
                  <w:r>
                    <w:t xml:space="preserve">28</w:t>
                  </w:r>
                </w:p>
              </w:tc>
              <w:tc>
                <w:tcPr/>
                <w:p>
                  <w:pPr>
                    <w:pStyle w:val="Compact"/>
                    <w:jc w:val="left"/>
                    <w:jc w:val="center"/>
                  </w:pPr>
                  <w:r>
                    <w:t xml:space="preserve">0.174</w:t>
                  </w:r>
                </w:p>
              </w:tc>
              <w:tc>
                <w:tcPr/>
                <w:p>
                  <w:pPr>
                    <w:pStyle w:val="Compact"/>
                    <w:jc w:val="left"/>
                    <w:jc w:val="center"/>
                  </w:pPr>
                  <w:r>
                    <w:t xml:space="preserve">57.509</w:t>
                  </w:r>
                </w:p>
              </w:tc>
              <w:tc>
                <w:tcPr/>
                <w:p>
                  <w:pPr>
                    <w:pStyle w:val="Compact"/>
                    <w:jc w:val="left"/>
                    <w:jc w:val="center"/>
                  </w:pPr>
                  <w:r>
                    <w:t xml:space="preserve">0.019</w:t>
                  </w:r>
                </w:p>
              </w:tc>
              <w:tc>
                <w:tcPr/>
                <w:p>
                  <w:pPr>
                    <w:pStyle w:val="Compact"/>
                    <w:jc w:val="left"/>
                    <w:jc w:val="center"/>
                  </w:pPr>
                  <w:r>
                    <w:t xml:space="preserve">17.976</w:t>
                  </w:r>
                </w:p>
              </w:tc>
              <w:tc>
                <w:tcPr/>
                <w:p>
                  <w:pPr>
                    <w:pStyle w:val="Compact"/>
                    <w:jc w:val="left"/>
                    <w:jc w:val="center"/>
                  </w:pPr>
                  <w:r>
                    <w:t xml:space="preserve">13.346</w:t>
                  </w:r>
                </w:p>
              </w:tc>
              <w:tc>
                <w:tcPr/>
                <w:p>
                  <w:pPr>
                    <w:pStyle w:val="Compact"/>
                    <w:jc w:val="left"/>
                    <w:jc w:val="center"/>
                  </w:pPr>
                  <w:r>
                    <w:t xml:space="preserve">4.631</w:t>
                  </w:r>
                </w:p>
              </w:tc>
            </w:tr>
            <w:tr>
              <w:tc>
                <w:tcPr/>
                <w:p>
                  <w:pPr>
                    <w:pStyle w:val="Compact"/>
                    <w:jc w:val="left"/>
                    <w:jc w:val="center"/>
                  </w:pPr>
                  <w:r>
                    <w:t xml:space="preserve">6</w:t>
                  </w:r>
                </w:p>
              </w:tc>
              <w:tc>
                <w:tcPr/>
                <w:p>
                  <w:pPr>
                    <w:pStyle w:val="Compact"/>
                    <w:jc w:val="left"/>
                    <w:jc w:val="center"/>
                  </w:pPr>
                  <w:r>
                    <w:t xml:space="preserve">overall</w:t>
                  </w:r>
                </w:p>
              </w:tc>
              <w:tc>
                <w:tcPr/>
                <w:p>
                  <w:pPr>
                    <w:pStyle w:val="Compact"/>
                    <w:jc w:val="left"/>
                    <w:jc w:val="center"/>
                  </w:pPr>
                  <w:r>
                    <w:t xml:space="preserve">28</w:t>
                  </w:r>
                </w:p>
              </w:tc>
              <w:tc>
                <w:tcPr/>
                <w:p>
                  <w:pPr>
                    <w:pStyle w:val="Compact"/>
                    <w:jc w:val="left"/>
                    <w:jc w:val="center"/>
                  </w:pPr>
                  <w:r>
                    <w:t xml:space="preserve">0.357</w:t>
                  </w:r>
                </w:p>
              </w:tc>
              <w:tc>
                <w:tcPr/>
                <w:p>
                  <w:pPr>
                    <w:pStyle w:val="Compact"/>
                    <w:jc w:val="left"/>
                    <w:jc w:val="center"/>
                  </w:pPr>
                  <w:r>
                    <w:t xml:space="preserve">47.941</w:t>
                  </w:r>
                </w:p>
              </w:tc>
              <w:tc>
                <w:tcPr/>
                <w:p>
                  <w:pPr>
                    <w:pStyle w:val="Compact"/>
                    <w:jc w:val="left"/>
                    <w:jc w:val="center"/>
                  </w:pPr>
                  <w:r>
                    <w:t xml:space="preserve">0.078</w:t>
                  </w:r>
                </w:p>
              </w:tc>
              <w:tc>
                <w:tcPr/>
                <w:p>
                  <w:pPr>
                    <w:pStyle w:val="Compact"/>
                    <w:jc w:val="left"/>
                    <w:jc w:val="center"/>
                  </w:pPr>
                  <w:r>
                    <w:t xml:space="preserve">9.149</w:t>
                  </w:r>
                </w:p>
              </w:tc>
              <w:tc>
                <w:tcPr/>
                <w:p>
                  <w:pPr>
                    <w:pStyle w:val="Compact"/>
                    <w:jc w:val="left"/>
                    <w:jc w:val="center"/>
                  </w:pPr>
                  <w:r>
                    <w:t xml:space="preserve">7.837</w:t>
                  </w:r>
                </w:p>
              </w:tc>
              <w:tc>
                <w:tcPr/>
                <w:p>
                  <w:pPr>
                    <w:pStyle w:val="Compact"/>
                    <w:jc w:val="left"/>
                    <w:jc w:val="center"/>
                  </w:pPr>
                  <w:r>
                    <w:t xml:space="preserve">1.312</w:t>
                  </w:r>
                </w:p>
              </w:tc>
            </w:tr>
          </w:tbl>
          <w:bookmarkEnd w:id="45"/>
          <w:p/>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6" w:name="tbl-coverage"/>
          <w:p>
            <w:pPr>
              <w:jc w:val="center"/>
            </w:pPr>
            <w:pPr>
              <w:jc w:val="start"/>
              <w:spacing w:before="200"/>
              <w:pStyle w:val="ImageCaption"/>
            </w:pPr>
            <w:r>
              <w:t xml:space="preserve">Table 3.3: CI coverage: does one interval contain the other’s point estimate?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jc w:val="center"/>
                  </w:pPr>
                  <w:r>
                    <w:t xml:space="preserve">metric</w:t>
                  </w:r>
                </w:p>
              </w:tc>
              <w:tc>
                <w:tcPr/>
                <w:p>
                  <w:pPr>
                    <w:pStyle w:val="Compact"/>
                    <w:jc w:val="left"/>
                    <w:jc w:val="center"/>
                  </w:pPr>
                  <w:r>
                    <w:t xml:space="preserve">N</w:t>
                  </w:r>
                </w:p>
              </w:tc>
              <w:tc>
                <w:tcPr/>
                <w:p>
                  <w:pPr>
                    <w:pStyle w:val="Compact"/>
                    <w:jc w:val="left"/>
                    <w:jc w:val="center"/>
                  </w:pPr>
                  <w:r>
                    <w:t xml:space="preserve">human_in_llm</w:t>
                  </w:r>
                </w:p>
              </w:tc>
              <w:tc>
                <w:tcPr/>
                <w:p>
                  <w:pPr>
                    <w:pStyle w:val="Compact"/>
                    <w:jc w:val="left"/>
                    <w:jc w:val="center"/>
                  </w:pPr>
                  <w:r>
                    <w:t xml:space="preserve">llm_in_human</w:t>
                  </w:r>
                </w:p>
              </w:tc>
              <w:tc>
                <w:tcPr/>
                <w:p>
                  <w:pPr>
                    <w:pStyle w:val="Compact"/>
                    <w:jc w:val="left"/>
                    <w:jc w:val="center"/>
                  </w:pPr>
                  <w:r>
                    <w:t xml:space="preserve">both_cover</w:t>
                  </w:r>
                </w:p>
              </w:tc>
            </w:tr>
            <w:tr>
              <w:tc>
                <w:tcPr/>
                <w:p>
                  <w:pPr>
                    <w:pStyle w:val="Compact"/>
                    <w:jc w:val="left"/>
                    <w:jc w:val="center"/>
                  </w:pPr>
                  <w:r>
                    <w:t xml:space="preserve">0</w:t>
                  </w:r>
                </w:p>
              </w:tc>
              <w:tc>
                <w:tcPr/>
                <w:p>
                  <w:pPr>
                    <w:pStyle w:val="Compact"/>
                    <w:jc w:val="left"/>
                    <w:jc w:val="center"/>
                  </w:pPr>
                  <w:r>
                    <w:t xml:space="preserve">advancing_knowledge</w:t>
                  </w:r>
                </w:p>
              </w:tc>
              <w:tc>
                <w:tcPr/>
                <w:p>
                  <w:pPr>
                    <w:pStyle w:val="Compact"/>
                    <w:jc w:val="left"/>
                    <w:jc w:val="center"/>
                  </w:pPr>
                  <w:r>
                    <w:t xml:space="preserve">24</w:t>
                  </w:r>
                </w:p>
              </w:tc>
              <w:tc>
                <w:tcPr/>
                <w:p>
                  <w:pPr>
                    <w:pStyle w:val="Compact"/>
                    <w:jc w:val="left"/>
                    <w:jc w:val="center"/>
                  </w:pPr>
                  <w:r>
                    <w:t xml:space="preserve">0.67</w:t>
                  </w:r>
                </w:p>
              </w:tc>
              <w:tc>
                <w:tcPr/>
                <w:p>
                  <w:pPr>
                    <w:pStyle w:val="Compact"/>
                    <w:jc w:val="left"/>
                    <w:jc w:val="center"/>
                  </w:pPr>
                  <w:r>
                    <w:t xml:space="preserve">0.62</w:t>
                  </w:r>
                </w:p>
              </w:tc>
              <w:tc>
                <w:tcPr/>
                <w:p>
                  <w:pPr>
                    <w:pStyle w:val="Compact"/>
                    <w:jc w:val="left"/>
                    <w:jc w:val="center"/>
                  </w:pPr>
                  <w:r>
                    <w:t xml:space="preserve">0.54</w:t>
                  </w:r>
                </w:p>
              </w:tc>
            </w:tr>
            <w:tr>
              <w:tc>
                <w:tcPr/>
                <w:p>
                  <w:pPr>
                    <w:pStyle w:val="Compact"/>
                    <w:jc w:val="left"/>
                    <w:jc w:val="center"/>
                  </w:pPr>
                  <w:r>
                    <w:t xml:space="preserve">1</w:t>
                  </w:r>
                </w:p>
              </w:tc>
              <w:tc>
                <w:tcPr/>
                <w:p>
                  <w:pPr>
                    <w:pStyle w:val="Compact"/>
                    <w:jc w:val="left"/>
                    <w:jc w:val="center"/>
                  </w:pPr>
                  <w:r>
                    <w:t xml:space="preserve">claims_evidence</w:t>
                  </w:r>
                </w:p>
              </w:tc>
              <w:tc>
                <w:tcPr/>
                <w:p>
                  <w:pPr>
                    <w:pStyle w:val="Compact"/>
                    <w:jc w:val="left"/>
                    <w:jc w:val="center"/>
                  </w:pPr>
                  <w:r>
                    <w:t xml:space="preserve">6</w:t>
                  </w:r>
                </w:p>
              </w:tc>
              <w:tc>
                <w:tcPr/>
                <w:p>
                  <w:pPr>
                    <w:pStyle w:val="Compact"/>
                    <w:jc w:val="left"/>
                    <w:jc w:val="center"/>
                  </w:pPr>
                  <w:r>
                    <w:t xml:space="preserve">0.67</w:t>
                  </w:r>
                </w:p>
              </w:tc>
              <w:tc>
                <w:tcPr/>
                <w:p>
                  <w:pPr>
                    <w:pStyle w:val="Compact"/>
                    <w:jc w:val="left"/>
                    <w:jc w:val="center"/>
                  </w:pPr>
                  <w:r>
                    <w:t xml:space="preserve">0.67</w:t>
                  </w:r>
                </w:p>
              </w:tc>
              <w:tc>
                <w:tcPr/>
                <w:p>
                  <w:pPr>
                    <w:pStyle w:val="Compact"/>
                    <w:jc w:val="left"/>
                    <w:jc w:val="center"/>
                  </w:pPr>
                  <w:r>
                    <w:t xml:space="preserve">0.67</w:t>
                  </w:r>
                </w:p>
              </w:tc>
            </w:tr>
            <w:tr>
              <w:tc>
                <w:tcPr/>
                <w:p>
                  <w:pPr>
                    <w:pStyle w:val="Compact"/>
                    <w:jc w:val="left"/>
                    <w:jc w:val="center"/>
                  </w:pPr>
                  <w:r>
                    <w:t xml:space="preserve">2</w:t>
                  </w:r>
                </w:p>
              </w:tc>
              <w:tc>
                <w:tcPr/>
                <w:p>
                  <w:pPr>
                    <w:pStyle w:val="Compact"/>
                    <w:jc w:val="left"/>
                    <w:jc w:val="center"/>
                  </w:pPr>
                  <w:r>
                    <w:t xml:space="preserve">global_relevance</w:t>
                  </w:r>
                </w:p>
              </w:tc>
              <w:tc>
                <w:tcPr/>
                <w:p>
                  <w:pPr>
                    <w:pStyle w:val="Compact"/>
                    <w:jc w:val="left"/>
                    <w:jc w:val="center"/>
                  </w:pPr>
                  <w:r>
                    <w:t xml:space="preserve">25</w:t>
                  </w:r>
                </w:p>
              </w:tc>
              <w:tc>
                <w:tcPr/>
                <w:p>
                  <w:pPr>
                    <w:pStyle w:val="Compact"/>
                    <w:jc w:val="left"/>
                    <w:jc w:val="center"/>
                  </w:pPr>
                  <w:r>
                    <w:t xml:space="preserve">0.36</w:t>
                  </w:r>
                </w:p>
              </w:tc>
              <w:tc>
                <w:tcPr/>
                <w:p>
                  <w:pPr>
                    <w:pStyle w:val="Compact"/>
                    <w:jc w:val="left"/>
                    <w:jc w:val="center"/>
                  </w:pPr>
                  <w:r>
                    <w:t xml:space="preserve">0.44</w:t>
                  </w:r>
                </w:p>
              </w:tc>
              <w:tc>
                <w:tcPr/>
                <w:p>
                  <w:pPr>
                    <w:pStyle w:val="Compact"/>
                    <w:jc w:val="left"/>
                    <w:jc w:val="center"/>
                  </w:pPr>
                  <w:r>
                    <w:t xml:space="preserve">0.28</w:t>
                  </w:r>
                </w:p>
              </w:tc>
            </w:tr>
            <w:tr>
              <w:tc>
                <w:tcPr/>
                <w:p>
                  <w:pPr>
                    <w:pStyle w:val="Compact"/>
                    <w:jc w:val="left"/>
                    <w:jc w:val="center"/>
                  </w:pPr>
                  <w:r>
                    <w:t xml:space="preserve">3</w:t>
                  </w:r>
                </w:p>
              </w:tc>
              <w:tc>
                <w:tcPr/>
                <w:p>
                  <w:pPr>
                    <w:pStyle w:val="Compact"/>
                    <w:jc w:val="left"/>
                    <w:jc w:val="center"/>
                  </w:pPr>
                  <w:r>
                    <w:t xml:space="preserve">logic_communication</w:t>
                  </w:r>
                </w:p>
              </w:tc>
              <w:tc>
                <w:tcPr/>
                <w:p>
                  <w:pPr>
                    <w:pStyle w:val="Compact"/>
                    <w:jc w:val="left"/>
                    <w:jc w:val="center"/>
                  </w:pPr>
                  <w:r>
                    <w:t xml:space="preserve">25</w:t>
                  </w:r>
                </w:p>
              </w:tc>
              <w:tc>
                <w:tcPr/>
                <w:p>
                  <w:pPr>
                    <w:pStyle w:val="Compact"/>
                    <w:jc w:val="left"/>
                    <w:jc w:val="center"/>
                  </w:pPr>
                  <w:r>
                    <w:t xml:space="preserve">0.36</w:t>
                  </w:r>
                </w:p>
              </w:tc>
              <w:tc>
                <w:tcPr/>
                <w:p>
                  <w:pPr>
                    <w:pStyle w:val="Compact"/>
                    <w:jc w:val="left"/>
                    <w:jc w:val="center"/>
                  </w:pPr>
                  <w:r>
                    <w:t xml:space="preserve">0.60</w:t>
                  </w:r>
                </w:p>
              </w:tc>
              <w:tc>
                <w:tcPr/>
                <w:p>
                  <w:pPr>
                    <w:pStyle w:val="Compact"/>
                    <w:jc w:val="left"/>
                    <w:jc w:val="center"/>
                  </w:pPr>
                  <w:r>
                    <w:t xml:space="preserve">0.36</w:t>
                  </w:r>
                </w:p>
              </w:tc>
            </w:tr>
            <w:tr>
              <w:tc>
                <w:tcPr/>
                <w:p>
                  <w:pPr>
                    <w:pStyle w:val="Compact"/>
                    <w:jc w:val="left"/>
                    <w:jc w:val="center"/>
                  </w:pPr>
                  <w:r>
                    <w:t xml:space="preserve">4</w:t>
                  </w:r>
                </w:p>
              </w:tc>
              <w:tc>
                <w:tcPr/>
                <w:p>
                  <w:pPr>
                    <w:pStyle w:val="Compact"/>
                    <w:jc w:val="left"/>
                    <w:jc w:val="center"/>
                  </w:pPr>
                  <w:r>
                    <w:t xml:space="preserve">methods</w:t>
                  </w:r>
                </w:p>
              </w:tc>
              <w:tc>
                <w:tcPr/>
                <w:p>
                  <w:pPr>
                    <w:pStyle w:val="Compact"/>
                    <w:jc w:val="left"/>
                    <w:jc w:val="center"/>
                  </w:pPr>
                  <w:r>
                    <w:t xml:space="preserve">24</w:t>
                  </w:r>
                </w:p>
              </w:tc>
              <w:tc>
                <w:tcPr/>
                <w:p>
                  <w:pPr>
                    <w:pStyle w:val="Compact"/>
                    <w:jc w:val="left"/>
                    <w:jc w:val="center"/>
                  </w:pPr>
                  <w:r>
                    <w:t xml:space="preserve">0.62</w:t>
                  </w:r>
                </w:p>
              </w:tc>
              <w:tc>
                <w:tcPr/>
                <w:p>
                  <w:pPr>
                    <w:pStyle w:val="Compact"/>
                    <w:jc w:val="left"/>
                    <w:jc w:val="center"/>
                  </w:pPr>
                  <w:r>
                    <w:t xml:space="preserve">0.54</w:t>
                  </w:r>
                </w:p>
              </w:tc>
              <w:tc>
                <w:tcPr/>
                <w:p>
                  <w:pPr>
                    <w:pStyle w:val="Compact"/>
                    <w:jc w:val="left"/>
                    <w:jc w:val="center"/>
                  </w:pPr>
                  <w:r>
                    <w:t xml:space="preserve">0.50</w:t>
                  </w:r>
                </w:p>
              </w:tc>
            </w:tr>
            <w:tr>
              <w:tc>
                <w:tcPr/>
                <w:p>
                  <w:pPr>
                    <w:pStyle w:val="Compact"/>
                    <w:jc w:val="left"/>
                    <w:jc w:val="center"/>
                  </w:pPr>
                  <w:r>
                    <w:t xml:space="preserve">5</w:t>
                  </w:r>
                </w:p>
              </w:tc>
              <w:tc>
                <w:tcPr/>
                <w:p>
                  <w:pPr>
                    <w:pStyle w:val="Compact"/>
                    <w:jc w:val="left"/>
                    <w:jc w:val="center"/>
                  </w:pPr>
                  <w:r>
                    <w:t xml:space="preserve">open_science</w:t>
                  </w:r>
                </w:p>
              </w:tc>
              <w:tc>
                <w:tcPr/>
                <w:p>
                  <w:pPr>
                    <w:pStyle w:val="Compact"/>
                    <w:jc w:val="left"/>
                    <w:jc w:val="center"/>
                  </w:pPr>
                  <w:r>
                    <w:t xml:space="preserve">25</w:t>
                  </w:r>
                </w:p>
              </w:tc>
              <w:tc>
                <w:tcPr/>
                <w:p>
                  <w:pPr>
                    <w:pStyle w:val="Compact"/>
                    <w:jc w:val="left"/>
                    <w:jc w:val="center"/>
                  </w:pPr>
                  <w:r>
                    <w:t xml:space="preserve">0.48</w:t>
                  </w:r>
                </w:p>
              </w:tc>
              <w:tc>
                <w:tcPr/>
                <w:p>
                  <w:pPr>
                    <w:pStyle w:val="Compact"/>
                    <w:jc w:val="left"/>
                    <w:jc w:val="center"/>
                  </w:pPr>
                  <w:r>
                    <w:t xml:space="preserve">0.40</w:t>
                  </w:r>
                </w:p>
              </w:tc>
              <w:tc>
                <w:tcPr/>
                <w:p>
                  <w:pPr>
                    <w:pStyle w:val="Compact"/>
                    <w:jc w:val="left"/>
                    <w:jc w:val="center"/>
                  </w:pPr>
                  <w:r>
                    <w:t xml:space="preserve">0.28</w:t>
                  </w:r>
                </w:p>
              </w:tc>
            </w:tr>
            <w:tr>
              <w:tc>
                <w:tcPr/>
                <w:p>
                  <w:pPr>
                    <w:pStyle w:val="Compact"/>
                    <w:jc w:val="left"/>
                    <w:jc w:val="center"/>
                  </w:pPr>
                  <w:r>
                    <w:t xml:space="preserve">6</w:t>
                  </w:r>
                </w:p>
              </w:tc>
              <w:tc>
                <w:tcPr/>
                <w:p>
                  <w:pPr>
                    <w:pStyle w:val="Compact"/>
                    <w:jc w:val="left"/>
                    <w:jc w:val="center"/>
                  </w:pPr>
                  <w:r>
                    <w:t xml:space="preserve">overall</w:t>
                  </w:r>
                </w:p>
              </w:tc>
              <w:tc>
                <w:tcPr/>
                <w:p>
                  <w:pPr>
                    <w:pStyle w:val="Compact"/>
                    <w:jc w:val="left"/>
                    <w:jc w:val="center"/>
                  </w:pPr>
                  <w:r>
                    <w:t xml:space="preserve">25</w:t>
                  </w:r>
                </w:p>
              </w:tc>
              <w:tc>
                <w:tcPr/>
                <w:p>
                  <w:pPr>
                    <w:pStyle w:val="Compact"/>
                    <w:jc w:val="left"/>
                    <w:jc w:val="center"/>
                  </w:pPr>
                  <w:r>
                    <w:t xml:space="preserve">0.60</w:t>
                  </w:r>
                </w:p>
              </w:tc>
              <w:tc>
                <w:tcPr/>
                <w:p>
                  <w:pPr>
                    <w:pStyle w:val="Compact"/>
                    <w:jc w:val="left"/>
                    <w:jc w:val="center"/>
                  </w:pPr>
                  <w:r>
                    <w:t xml:space="preserve">0.60</w:t>
                  </w:r>
                </w:p>
              </w:tc>
              <w:tc>
                <w:tcPr/>
                <w:p>
                  <w:pPr>
                    <w:pStyle w:val="Compact"/>
                    <w:jc w:val="left"/>
                    <w:jc w:val="center"/>
                  </w:pPr>
                  <w:r>
                    <w:t xml:space="preserve">0.52</w:t>
                  </w:r>
                </w:p>
              </w:tc>
            </w:tr>
          </w:tbl>
          <w:bookmarkEnd w:id="46"/>
          <w:p/>
        </w:tc>
      </w:tr>
    </w:tbl>
    <w:tbl>
      <w:tblPr>
        <w:tblStyle w:val="Table"/>
        <w:tblW w:type="pct" w:w="5000"/>
        <w:tblLook w:firstRow="0" w:lastRow="0" w:firstColumn="0" w:lastColumn="0" w:noHBand="0" w:noVBand="0" w:val="0000"/>
        <w:jc w:val="start"/>
        <w:tblLayout w:type="fixed"/>
      </w:tblPr>
      <w:tblGrid>
        <w:gridCol w:w="7920"/>
      </w:tblGrid>
      <w:tr>
        <w:tc>
          <w:tcPr/>
          <w:bookmarkStart w:id="50" w:name="fig-uncert-vs-error"/>
          <w:p>
            <w:pPr>
              <w:pStyle w:val="Compact"/>
              <w:jc w:val="center"/>
            </w:pPr>
            <w:r>
              <w:drawing>
                <wp:inline>
                  <wp:extent cx="5334000" cy="3940300"/>
                  <wp:effectExtent b="0" l="0" r="0" t="0"/>
                  <wp:docPr descr="" title="" id="48" name="Picture"/>
                  <a:graphic>
                    <a:graphicData uri="http://schemas.openxmlformats.org/drawingml/2006/picture">
                      <pic:pic>
                        <pic:nvPicPr>
                          <pic:cNvPr descr="compare_ratings_files/figure-docx/fig-uncert-vs-error-output-1.png" id="49" name="Picture"/>
                          <pic:cNvPicPr>
                            <a:picLocks noChangeArrowheads="1" noChangeAspect="1"/>
                          </pic:cNvPicPr>
                        </pic:nvPicPr>
                        <pic:blipFill>
                          <a:blip r:embed="rId47"/>
                          <a:stretch>
                            <a:fillRect/>
                          </a:stretch>
                        </pic:blipFill>
                        <pic:spPr bwMode="auto">
                          <a:xfrm>
                            <a:off x="0" y="0"/>
                            <a:ext cx="5334000" cy="3940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3.4: Human uncertainty (CI width) vs |LLM − Human|. Spearman correlation reported.</w:t>
            </w:r>
          </w:p>
          <w:bookmarkEnd w:id="50"/>
        </w:tc>
      </w:tr>
    </w:tbl>
    <w:tbl>
      <w:tblPr>
        <w:tblStyle w:val="Table"/>
        <w:tblW w:type="pct" w:w="5000"/>
        <w:tblLook w:firstRow="0" w:lastRow="0" w:firstColumn="0" w:lastColumn="0" w:noHBand="0" w:noVBand="0" w:val="0000"/>
        <w:jc w:val="start"/>
        <w:tblLayout w:type="fixed"/>
      </w:tblPr>
      <w:tblGrid>
        <w:gridCol w:w="7920"/>
      </w:tblGrid>
      <w:tr>
        <w:tc>
          <w:tcPr/>
          <w:bookmarkStart w:id="51" w:name="tbl-outliers"/>
          <w:p>
            <w:pPr>
              <w:jc w:val="center"/>
            </w:pPr>
            <w:pPr>
              <w:jc w:val="start"/>
              <w:spacing w:before="200"/>
              <w:pStyle w:val="ImageCaption"/>
            </w:pPr>
            <w:r>
              <w:t xml:space="preserve">Table 3.4: Top absolute differences (LLM vs Human). Flags show whether each point lies within the other’s CI.</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pPr>
                </w:p>
              </w:tc>
              <w:tc>
                <w:tcPr/>
                <w:p>
                  <w:pPr>
                    <w:pStyle w:val="Compact"/>
                    <w:jc w:val="left"/>
                    <w:jc w:val="center"/>
                  </w:pPr>
                  <w:r>
                    <w:t xml:space="preserve">paper</w:t>
                  </w:r>
                </w:p>
              </w:tc>
              <w:tc>
                <w:tcPr/>
                <w:p>
                  <w:pPr>
                    <w:pStyle w:val="Compact"/>
                    <w:jc w:val="left"/>
                    <w:jc w:val="center"/>
                  </w:pPr>
                  <w:r>
                    <w:t xml:space="preserve">metric</w:t>
                  </w:r>
                </w:p>
              </w:tc>
              <w:tc>
                <w:tcPr/>
                <w:p>
                  <w:pPr>
                    <w:pStyle w:val="Compact"/>
                    <w:jc w:val="left"/>
                    <w:jc w:val="center"/>
                  </w:pPr>
                  <w:r>
                    <w:t xml:space="preserve">midpoint_llm</w:t>
                  </w:r>
                </w:p>
              </w:tc>
              <w:tc>
                <w:tcPr/>
                <w:p>
                  <w:pPr>
                    <w:pStyle w:val="Compact"/>
                    <w:jc w:val="left"/>
                    <w:jc w:val="center"/>
                  </w:pPr>
                  <w:r>
                    <w:t xml:space="preserve">midpoint_human</w:t>
                  </w:r>
                </w:p>
              </w:tc>
              <w:tc>
                <w:tcPr/>
                <w:p>
                  <w:pPr>
                    <w:pStyle w:val="Compact"/>
                    <w:jc w:val="left"/>
                    <w:jc w:val="center"/>
                  </w:pPr>
                  <w:r>
                    <w:t xml:space="preserve">abs_diff</w:t>
                  </w:r>
                </w:p>
              </w:tc>
              <w:tc>
                <w:tcPr/>
                <w:p>
                  <w:pPr>
                    <w:pStyle w:val="Compact"/>
                    <w:jc w:val="left"/>
                    <w:jc w:val="center"/>
                  </w:pPr>
                  <w:r>
                    <w:t xml:space="preserve">human_in_llm</w:t>
                  </w:r>
                </w:p>
              </w:tc>
              <w:tc>
                <w:tcPr/>
                <w:p>
                  <w:pPr>
                    <w:pStyle w:val="Compact"/>
                    <w:jc w:val="left"/>
                    <w:jc w:val="center"/>
                  </w:pPr>
                  <w:r>
                    <w:t xml:space="preserve">llm_in_human</w:t>
                  </w:r>
                </w:p>
              </w:tc>
            </w:tr>
            <w:tr>
              <w:tc>
                <w:tcPr/>
                <w:p>
                  <w:pPr>
                    <w:pStyle w:val="Compact"/>
                    <w:jc w:val="left"/>
                    <w:jc w:val="center"/>
                  </w:pPr>
                  <w:r>
                    <w:t xml:space="preserve">23</w:t>
                  </w:r>
                </w:p>
              </w:tc>
              <w:tc>
                <w:tcPr/>
                <w:p>
                  <w:pPr>
                    <w:pStyle w:val="Compact"/>
                    <w:jc w:val="left"/>
                    <w:jc w:val="center"/>
                  </w:pPr>
                  <w:r>
                    <w:t xml:space="preserve">Alcott et al. 2024</w:t>
                  </w:r>
                </w:p>
              </w:tc>
              <w:tc>
                <w:tcPr/>
                <w:p>
                  <w:pPr>
                    <w:pStyle w:val="Compact"/>
                    <w:jc w:val="left"/>
                    <w:jc w:val="center"/>
                  </w:pPr>
                  <w:r>
                    <w:t xml:space="preserve">global_relevance</w:t>
                  </w:r>
                </w:p>
              </w:tc>
              <w:tc>
                <w:tcPr/>
                <w:p>
                  <w:pPr>
                    <w:pStyle w:val="Compact"/>
                    <w:jc w:val="left"/>
                    <w:jc w:val="center"/>
                  </w:pPr>
                  <w:r>
                    <w:t xml:space="preserve">78</w:t>
                  </w:r>
                </w:p>
              </w:tc>
              <w:tc>
                <w:tcPr/>
                <w:p>
                  <w:pPr>
                    <w:pStyle w:val="Compact"/>
                    <w:jc w:val="left"/>
                    <w:jc w:val="center"/>
                  </w:pPr>
                  <w:r>
                    <w:t xml:space="preserve">16.00</w:t>
                  </w:r>
                </w:p>
              </w:tc>
              <w:tc>
                <w:tcPr/>
                <w:p>
                  <w:pPr>
                    <w:pStyle w:val="Compact"/>
                    <w:jc w:val="left"/>
                    <w:jc w:val="center"/>
                  </w:pPr>
                  <w:r>
                    <w:t xml:space="preserve">62.00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49</w:t>
                  </w:r>
                </w:p>
              </w:tc>
              <w:tc>
                <w:tcPr/>
                <w:p>
                  <w:pPr>
                    <w:pStyle w:val="Compact"/>
                    <w:jc w:val="left"/>
                    <w:jc w:val="center"/>
                  </w:pPr>
                  <w:r>
                    <w:t xml:space="preserve">Bettle 2023</w:t>
                  </w:r>
                </w:p>
              </w:tc>
              <w:tc>
                <w:tcPr/>
                <w:p>
                  <w:pPr>
                    <w:pStyle w:val="Compact"/>
                    <w:jc w:val="left"/>
                    <w:jc w:val="center"/>
                  </w:pPr>
                  <w:r>
                    <w:t xml:space="preserve">methods</w:t>
                  </w:r>
                </w:p>
              </w:tc>
              <w:tc>
                <w:tcPr/>
                <w:p>
                  <w:pPr>
                    <w:pStyle w:val="Compact"/>
                    <w:jc w:val="left"/>
                    <w:jc w:val="center"/>
                  </w:pPr>
                  <w:r>
                    <w:t xml:space="preserve">68</w:t>
                  </w:r>
                </w:p>
              </w:tc>
              <w:tc>
                <w:tcPr/>
                <w:p>
                  <w:pPr>
                    <w:pStyle w:val="Compact"/>
                    <w:jc w:val="left"/>
                    <w:jc w:val="center"/>
                  </w:pPr>
                  <w:r>
                    <w:t xml:space="preserve">10.00</w:t>
                  </w:r>
                </w:p>
              </w:tc>
              <w:tc>
                <w:tcPr/>
                <w:p>
                  <w:pPr>
                    <w:pStyle w:val="Compact"/>
                    <w:jc w:val="left"/>
                    <w:jc w:val="center"/>
                  </w:pPr>
                  <w:r>
                    <w:t xml:space="preserve">58.00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20</w:t>
                  </w:r>
                </w:p>
              </w:tc>
              <w:tc>
                <w:tcPr/>
                <w:p>
                  <w:pPr>
                    <w:pStyle w:val="Compact"/>
                    <w:jc w:val="left"/>
                    <w:jc w:val="center"/>
                  </w:pPr>
                  <w:r>
                    <w:t xml:space="preserve">Alcott et al. 2024</w:t>
                  </w:r>
                </w:p>
              </w:tc>
              <w:tc>
                <w:tcPr/>
                <w:p>
                  <w:pPr>
                    <w:pStyle w:val="Compact"/>
                    <w:jc w:val="left"/>
                    <w:jc w:val="center"/>
                  </w:pPr>
                  <w:r>
                    <w:t xml:space="preserve">advancing_knowledge</w:t>
                  </w:r>
                </w:p>
              </w:tc>
              <w:tc>
                <w:tcPr/>
                <w:p>
                  <w:pPr>
                    <w:pStyle w:val="Compact"/>
                    <w:jc w:val="left"/>
                    <w:jc w:val="center"/>
                  </w:pPr>
                  <w:r>
                    <w:t xml:space="preserve">90</w:t>
                  </w:r>
                </w:p>
              </w:tc>
              <w:tc>
                <w:tcPr/>
                <w:p>
                  <w:pPr>
                    <w:pStyle w:val="Compact"/>
                    <w:jc w:val="left"/>
                    <w:jc w:val="center"/>
                  </w:pPr>
                  <w:r>
                    <w:t xml:space="preserve">32.50</w:t>
                  </w:r>
                </w:p>
              </w:tc>
              <w:tc>
                <w:tcPr/>
                <w:p>
                  <w:pPr>
                    <w:pStyle w:val="Compact"/>
                    <w:jc w:val="left"/>
                    <w:jc w:val="center"/>
                  </w:pPr>
                  <w:r>
                    <w:t xml:space="preserve">57.50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63</w:t>
                  </w:r>
                </w:p>
              </w:tc>
              <w:tc>
                <w:tcPr/>
                <w:p>
                  <w:pPr>
                    <w:pStyle w:val="Compact"/>
                    <w:jc w:val="left"/>
                    <w:jc w:val="center"/>
                  </w:pPr>
                  <w:r>
                    <w:t xml:space="preserve">Bruers 2021</w:t>
                  </w:r>
                </w:p>
              </w:tc>
              <w:tc>
                <w:tcPr/>
                <w:p>
                  <w:pPr>
                    <w:pStyle w:val="Compact"/>
                    <w:jc w:val="left"/>
                    <w:jc w:val="center"/>
                  </w:pPr>
                  <w:r>
                    <w:t xml:space="preserve">open_science</w:t>
                  </w:r>
                </w:p>
              </w:tc>
              <w:tc>
                <w:tcPr/>
                <w:p>
                  <w:pPr>
                    <w:pStyle w:val="Compact"/>
                    <w:jc w:val="left"/>
                    <w:jc w:val="center"/>
                  </w:pPr>
                  <w:r>
                    <w:t xml:space="preserve">30</w:t>
                  </w:r>
                </w:p>
              </w:tc>
              <w:tc>
                <w:tcPr/>
                <w:p>
                  <w:pPr>
                    <w:pStyle w:val="Compact"/>
                    <w:jc w:val="left"/>
                    <w:jc w:val="center"/>
                  </w:pPr>
                  <w:r>
                    <w:t xml:space="preserve">80.00</w:t>
                  </w:r>
                </w:p>
              </w:tc>
              <w:tc>
                <w:tcPr/>
                <w:p>
                  <w:pPr>
                    <w:pStyle w:val="Compact"/>
                    <w:jc w:val="left"/>
                    <w:jc w:val="center"/>
                  </w:pPr>
                  <w:r>
                    <w:t xml:space="preserve">50.00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51</w:t>
                  </w:r>
                </w:p>
              </w:tc>
              <w:tc>
                <w:tcPr/>
                <w:p>
                  <w:pPr>
                    <w:pStyle w:val="Compact"/>
                    <w:jc w:val="left"/>
                    <w:jc w:val="center"/>
                  </w:pPr>
                  <w:r>
                    <w:t xml:space="preserve">Bettle 2023</w:t>
                  </w:r>
                </w:p>
              </w:tc>
              <w:tc>
                <w:tcPr/>
                <w:p>
                  <w:pPr>
                    <w:pStyle w:val="Compact"/>
                    <w:jc w:val="left"/>
                    <w:jc w:val="center"/>
                  </w:pPr>
                  <w:r>
                    <w:t xml:space="preserve">logic_communication</w:t>
                  </w:r>
                </w:p>
              </w:tc>
              <w:tc>
                <w:tcPr/>
                <w:p>
                  <w:pPr>
                    <w:pStyle w:val="Compact"/>
                    <w:jc w:val="left"/>
                    <w:jc w:val="center"/>
                  </w:pPr>
                  <w:r>
                    <w:t xml:space="preserve">78</w:t>
                  </w:r>
                </w:p>
              </w:tc>
              <w:tc>
                <w:tcPr/>
                <w:p>
                  <w:pPr>
                    <w:pStyle w:val="Compact"/>
                    <w:jc w:val="left"/>
                    <w:jc w:val="center"/>
                  </w:pPr>
                  <w:r>
                    <w:t xml:space="preserve">30.00</w:t>
                  </w:r>
                </w:p>
              </w:tc>
              <w:tc>
                <w:tcPr/>
                <w:p>
                  <w:pPr>
                    <w:pStyle w:val="Compact"/>
                    <w:jc w:val="left"/>
                    <w:jc w:val="center"/>
                  </w:pPr>
                  <w:r>
                    <w:t xml:space="preserve">48.00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4</w:t>
                  </w:r>
                </w:p>
              </w:tc>
              <w:tc>
                <w:tcPr/>
                <w:p>
                  <w:pPr>
                    <w:pStyle w:val="Compact"/>
                    <w:jc w:val="left"/>
                    <w:jc w:val="center"/>
                  </w:pPr>
                  <w:r>
                    <w:t xml:space="preserve">Aghion et al. 2017</w:t>
                  </w:r>
                </w:p>
              </w:tc>
              <w:tc>
                <w:tcPr/>
                <w:p>
                  <w:pPr>
                    <w:pStyle w:val="Compact"/>
                    <w:jc w:val="left"/>
                    <w:jc w:val="center"/>
                  </w:pPr>
                  <w:r>
                    <w:t xml:space="preserve">open_science</w:t>
                  </w:r>
                </w:p>
              </w:tc>
              <w:tc>
                <w:tcPr/>
                <w:p>
                  <w:pPr>
                    <w:pStyle w:val="Compact"/>
                    <w:jc w:val="left"/>
                    <w:jc w:val="center"/>
                  </w:pPr>
                  <w:r>
                    <w:t xml:space="preserve">40</w:t>
                  </w:r>
                </w:p>
              </w:tc>
              <w:tc>
                <w:tcPr/>
                <w:p>
                  <w:pPr>
                    <w:pStyle w:val="Compact"/>
                    <w:jc w:val="left"/>
                    <w:jc w:val="center"/>
                  </w:pPr>
                  <w:r>
                    <w:t xml:space="preserve">87.50</w:t>
                  </w:r>
                </w:p>
              </w:tc>
              <w:tc>
                <w:tcPr/>
                <w:p>
                  <w:pPr>
                    <w:pStyle w:val="Compact"/>
                    <w:jc w:val="left"/>
                    <w:jc w:val="center"/>
                  </w:pPr>
                  <w:r>
                    <w:t xml:space="preserve">47.50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52</w:t>
                  </w:r>
                </w:p>
              </w:tc>
              <w:tc>
                <w:tcPr/>
                <w:p>
                  <w:pPr>
                    <w:pStyle w:val="Compact"/>
                    <w:jc w:val="left"/>
                    <w:jc w:val="center"/>
                  </w:pPr>
                  <w:r>
                    <w:t xml:space="preserve">Bettle 2023</w:t>
                  </w:r>
                </w:p>
              </w:tc>
              <w:tc>
                <w:tcPr/>
                <w:p>
                  <w:pPr>
                    <w:pStyle w:val="Compact"/>
                    <w:jc w:val="left"/>
                    <w:jc w:val="center"/>
                  </w:pPr>
                  <w:r>
                    <w:t xml:space="preserve">open_science</w:t>
                  </w:r>
                </w:p>
              </w:tc>
              <w:tc>
                <w:tcPr/>
                <w:p>
                  <w:pPr>
                    <w:pStyle w:val="Compact"/>
                    <w:jc w:val="left"/>
                    <w:jc w:val="center"/>
                  </w:pPr>
                  <w:r>
                    <w:t xml:space="preserve">55</w:t>
                  </w:r>
                </w:p>
              </w:tc>
              <w:tc>
                <w:tcPr/>
                <w:p>
                  <w:pPr>
                    <w:pStyle w:val="Compact"/>
                    <w:jc w:val="left"/>
                    <w:jc w:val="center"/>
                  </w:pPr>
                  <w:r>
                    <w:t xml:space="preserve">10.00</w:t>
                  </w:r>
                </w:p>
              </w:tc>
              <w:tc>
                <w:tcPr/>
                <w:p>
                  <w:pPr>
                    <w:pStyle w:val="Compact"/>
                    <w:jc w:val="left"/>
                    <w:jc w:val="center"/>
                  </w:pPr>
                  <w:r>
                    <w:t xml:space="preserve">45.00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139</w:t>
                  </w:r>
                </w:p>
              </w:tc>
              <w:tc>
                <w:tcPr/>
                <w:p>
                  <w:pPr>
                    <w:pStyle w:val="Compact"/>
                    <w:jc w:val="left"/>
                    <w:jc w:val="center"/>
                  </w:pPr>
                  <w:r>
                    <w:t xml:space="preserve">Kremer et al. 2022</w:t>
                  </w:r>
                </w:p>
              </w:tc>
              <w:tc>
                <w:tcPr/>
                <w:p>
                  <w:pPr>
                    <w:pStyle w:val="Compact"/>
                    <w:jc w:val="left"/>
                    <w:jc w:val="center"/>
                  </w:pPr>
                  <w:r>
                    <w:t xml:space="preserve">global_relevance</w:t>
                  </w:r>
                </w:p>
              </w:tc>
              <w:tc>
                <w:tcPr/>
                <w:p>
                  <w:pPr>
                    <w:pStyle w:val="Compact"/>
                    <w:jc w:val="left"/>
                    <w:jc w:val="center"/>
                  </w:pPr>
                  <w:r>
                    <w:t xml:space="preserve">95</w:t>
                  </w:r>
                </w:p>
              </w:tc>
              <w:tc>
                <w:tcPr/>
                <w:p>
                  <w:pPr>
                    <w:pStyle w:val="Compact"/>
                    <w:jc w:val="left"/>
                    <w:jc w:val="center"/>
                  </w:pPr>
                  <w:r>
                    <w:t xml:space="preserve">51.25</w:t>
                  </w:r>
                </w:p>
              </w:tc>
              <w:tc>
                <w:tcPr/>
                <w:p>
                  <w:pPr>
                    <w:pStyle w:val="Compact"/>
                    <w:jc w:val="left"/>
                    <w:jc w:val="center"/>
                  </w:pPr>
                  <w:r>
                    <w:t xml:space="preserve">43.75</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82</w:t>
                  </w:r>
                </w:p>
              </w:tc>
              <w:tc>
                <w:tcPr/>
                <w:p>
                  <w:pPr>
                    <w:pStyle w:val="Compact"/>
                    <w:jc w:val="left"/>
                    <w:jc w:val="center"/>
                  </w:pPr>
                  <w:r>
                    <w:t xml:space="preserve">Chuard et al. 2022</w:t>
                  </w:r>
                </w:p>
              </w:tc>
              <w:tc>
                <w:tcPr/>
                <w:p>
                  <w:pPr>
                    <w:pStyle w:val="Compact"/>
                    <w:jc w:val="left"/>
                    <w:jc w:val="center"/>
                  </w:pPr>
                  <w:r>
                    <w:t xml:space="preserve">open_science</w:t>
                  </w:r>
                </w:p>
              </w:tc>
              <w:tc>
                <w:tcPr/>
                <w:p>
                  <w:pPr>
                    <w:pStyle w:val="Compact"/>
                    <w:jc w:val="left"/>
                    <w:jc w:val="center"/>
                  </w:pPr>
                  <w:r>
                    <w:t xml:space="preserve">55</w:t>
                  </w:r>
                </w:p>
              </w:tc>
              <w:tc>
                <w:tcPr/>
                <w:p>
                  <w:pPr>
                    <w:pStyle w:val="Compact"/>
                    <w:jc w:val="left"/>
                    <w:jc w:val="center"/>
                  </w:pPr>
                  <w:r>
                    <w:t xml:space="preserve">96.00</w:t>
                  </w:r>
                </w:p>
              </w:tc>
              <w:tc>
                <w:tcPr/>
                <w:p>
                  <w:pPr>
                    <w:pStyle w:val="Compact"/>
                    <w:jc w:val="left"/>
                    <w:jc w:val="center"/>
                  </w:pPr>
                  <w:r>
                    <w:t xml:space="preserve">41.00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48</w:t>
                  </w:r>
                </w:p>
              </w:tc>
              <w:tc>
                <w:tcPr/>
                <w:p>
                  <w:pPr>
                    <w:pStyle w:val="Compact"/>
                    <w:jc w:val="left"/>
                    <w:jc w:val="center"/>
                  </w:pPr>
                  <w:r>
                    <w:t xml:space="preserve">Bettle 2023</w:t>
                  </w:r>
                </w:p>
              </w:tc>
              <w:tc>
                <w:tcPr/>
                <w:p>
                  <w:pPr>
                    <w:pStyle w:val="Compact"/>
                    <w:jc w:val="left"/>
                    <w:jc w:val="center"/>
                  </w:pPr>
                  <w:r>
                    <w:t xml:space="preserve">overall</w:t>
                  </w:r>
                </w:p>
              </w:tc>
              <w:tc>
                <w:tcPr/>
                <w:p>
                  <w:pPr>
                    <w:pStyle w:val="Compact"/>
                    <w:jc w:val="left"/>
                    <w:jc w:val="center"/>
                  </w:pPr>
                  <w:r>
                    <w:t xml:space="preserve">68</w:t>
                  </w:r>
                </w:p>
              </w:tc>
              <w:tc>
                <w:tcPr/>
                <w:p>
                  <w:pPr>
                    <w:pStyle w:val="Compact"/>
                    <w:jc w:val="left"/>
                    <w:jc w:val="center"/>
                  </w:pPr>
                  <w:r>
                    <w:t xml:space="preserve">32.50</w:t>
                  </w:r>
                </w:p>
              </w:tc>
              <w:tc>
                <w:tcPr/>
                <w:p>
                  <w:pPr>
                    <w:pStyle w:val="Compact"/>
                    <w:jc w:val="left"/>
                    <w:jc w:val="center"/>
                  </w:pPr>
                  <w:r>
                    <w:t xml:space="preserve">35.50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75</w:t>
                  </w:r>
                </w:p>
              </w:tc>
              <w:tc>
                <w:tcPr/>
                <w:p>
                  <w:pPr>
                    <w:pStyle w:val="Compact"/>
                    <w:jc w:val="left"/>
                    <w:jc w:val="center"/>
                  </w:pPr>
                  <w:r>
                    <w:t xml:space="preserve">Carson et al. 2023</w:t>
                  </w:r>
                </w:p>
              </w:tc>
              <w:tc>
                <w:tcPr/>
                <w:p>
                  <w:pPr>
                    <w:pStyle w:val="Compact"/>
                    <w:jc w:val="left"/>
                    <w:jc w:val="center"/>
                  </w:pPr>
                  <w:r>
                    <w:t xml:space="preserve">logic_communication</w:t>
                  </w:r>
                </w:p>
              </w:tc>
              <w:tc>
                <w:tcPr/>
                <w:p>
                  <w:pPr>
                    <w:pStyle w:val="Compact"/>
                    <w:jc w:val="left"/>
                    <w:jc w:val="center"/>
                  </w:pPr>
                  <w:r>
                    <w:t xml:space="preserve">85</w:t>
                  </w:r>
                </w:p>
              </w:tc>
              <w:tc>
                <w:tcPr/>
                <w:p>
                  <w:pPr>
                    <w:pStyle w:val="Compact"/>
                    <w:jc w:val="left"/>
                    <w:jc w:val="center"/>
                  </w:pPr>
                  <w:r>
                    <w:t xml:space="preserve">50.00</w:t>
                  </w:r>
                </w:p>
              </w:tc>
              <w:tc>
                <w:tcPr/>
                <w:p>
                  <w:pPr>
                    <w:pStyle w:val="Compact"/>
                    <w:jc w:val="left"/>
                    <w:jc w:val="center"/>
                  </w:pPr>
                  <w:r>
                    <w:t xml:space="preserve">35.00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39</w:t>
                  </w:r>
                </w:p>
              </w:tc>
              <w:tc>
                <w:tcPr/>
                <w:p>
                  <w:pPr>
                    <w:pStyle w:val="Compact"/>
                    <w:jc w:val="left"/>
                    <w:jc w:val="center"/>
                  </w:pPr>
                  <w:r>
                    <w:t xml:space="preserve">Barberio et al. 2022</w:t>
                  </w:r>
                </w:p>
              </w:tc>
              <w:tc>
                <w:tcPr/>
                <w:p>
                  <w:pPr>
                    <w:pStyle w:val="Compact"/>
                    <w:jc w:val="left"/>
                    <w:jc w:val="center"/>
                  </w:pPr>
                  <w:r>
                    <w:t xml:space="preserve">logic_communication</w:t>
                  </w:r>
                </w:p>
              </w:tc>
              <w:tc>
                <w:tcPr/>
                <w:p>
                  <w:pPr>
                    <w:pStyle w:val="Compact"/>
                    <w:jc w:val="left"/>
                    <w:jc w:val="center"/>
                  </w:pPr>
                  <w:r>
                    <w:t xml:space="preserve">80</w:t>
                  </w:r>
                </w:p>
              </w:tc>
              <w:tc>
                <w:tcPr/>
                <w:p>
                  <w:pPr>
                    <w:pStyle w:val="Compact"/>
                    <w:jc w:val="left"/>
                    <w:jc w:val="center"/>
                  </w:pPr>
                  <w:r>
                    <w:t xml:space="preserve">45.00</w:t>
                  </w:r>
                </w:p>
              </w:tc>
              <w:tc>
                <w:tcPr/>
                <w:p>
                  <w:pPr>
                    <w:pStyle w:val="Compact"/>
                    <w:jc w:val="left"/>
                    <w:jc w:val="center"/>
                  </w:pPr>
                  <w:r>
                    <w:t xml:space="preserve">35.00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61</w:t>
                  </w:r>
                </w:p>
              </w:tc>
              <w:tc>
                <w:tcPr/>
                <w:p>
                  <w:pPr>
                    <w:pStyle w:val="Compact"/>
                    <w:jc w:val="left"/>
                    <w:jc w:val="center"/>
                  </w:pPr>
                  <w:r>
                    <w:t xml:space="preserve">Bruers 2021</w:t>
                  </w:r>
                </w:p>
              </w:tc>
              <w:tc>
                <w:tcPr/>
                <w:p>
                  <w:pPr>
                    <w:pStyle w:val="Compact"/>
                    <w:jc w:val="left"/>
                    <w:jc w:val="center"/>
                  </w:pPr>
                  <w:r>
                    <w:t xml:space="preserve">advancing_knowledge</w:t>
                  </w:r>
                </w:p>
              </w:tc>
              <w:tc>
                <w:tcPr/>
                <w:p>
                  <w:pPr>
                    <w:pStyle w:val="Compact"/>
                    <w:jc w:val="left"/>
                    <w:jc w:val="center"/>
                  </w:pPr>
                  <w:r>
                    <w:t xml:space="preserve">55</w:t>
                  </w:r>
                </w:p>
              </w:tc>
              <w:tc>
                <w:tcPr/>
                <w:p>
                  <w:pPr>
                    <w:pStyle w:val="Compact"/>
                    <w:jc w:val="left"/>
                    <w:jc w:val="center"/>
                  </w:pPr>
                  <w:r>
                    <w:t xml:space="preserve">90.00</w:t>
                  </w:r>
                </w:p>
              </w:tc>
              <w:tc>
                <w:tcPr/>
                <w:p>
                  <w:pPr>
                    <w:pStyle w:val="Compact"/>
                    <w:jc w:val="left"/>
                    <w:jc w:val="center"/>
                  </w:pPr>
                  <w:r>
                    <w:t xml:space="preserve">35.00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58</w:t>
                  </w:r>
                </w:p>
              </w:tc>
              <w:tc>
                <w:tcPr/>
                <w:p>
                  <w:pPr>
                    <w:pStyle w:val="Compact"/>
                    <w:jc w:val="left"/>
                    <w:jc w:val="center"/>
                  </w:pPr>
                  <w:r>
                    <w:t xml:space="preserve">Bruers 2021</w:t>
                  </w:r>
                </w:p>
              </w:tc>
              <w:tc>
                <w:tcPr/>
                <w:p>
                  <w:pPr>
                    <w:pStyle w:val="Compact"/>
                    <w:jc w:val="left"/>
                    <w:jc w:val="center"/>
                  </w:pPr>
                  <w:r>
                    <w:t xml:space="preserve">overall</w:t>
                  </w:r>
                </w:p>
              </w:tc>
              <w:tc>
                <w:tcPr/>
                <w:p>
                  <w:pPr>
                    <w:pStyle w:val="Compact"/>
                    <w:jc w:val="left"/>
                    <w:jc w:val="center"/>
                  </w:pPr>
                  <w:r>
                    <w:t xml:space="preserve">48</w:t>
                  </w:r>
                </w:p>
              </w:tc>
              <w:tc>
                <w:tcPr/>
                <w:p>
                  <w:pPr>
                    <w:pStyle w:val="Compact"/>
                    <w:jc w:val="left"/>
                    <w:jc w:val="center"/>
                  </w:pPr>
                  <w:r>
                    <w:t xml:space="preserve">80.00</w:t>
                  </w:r>
                </w:p>
              </w:tc>
              <w:tc>
                <w:tcPr/>
                <w:p>
                  <w:pPr>
                    <w:pStyle w:val="Compact"/>
                    <w:jc w:val="left"/>
                    <w:jc w:val="center"/>
                  </w:pPr>
                  <w:r>
                    <w:t xml:space="preserve">32.00</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3</w:t>
                  </w:r>
                </w:p>
              </w:tc>
              <w:tc>
                <w:tcPr/>
                <w:p>
                  <w:pPr>
                    <w:pStyle w:val="Compact"/>
                    <w:jc w:val="left"/>
                    <w:jc w:val="center"/>
                  </w:pPr>
                  <w:r>
                    <w:t xml:space="preserve">Aghion et al. 2017</w:t>
                  </w:r>
                </w:p>
              </w:tc>
              <w:tc>
                <w:tcPr/>
                <w:p>
                  <w:pPr>
                    <w:pStyle w:val="Compact"/>
                    <w:jc w:val="left"/>
                    <w:jc w:val="center"/>
                  </w:pPr>
                  <w:r>
                    <w:t xml:space="preserve">logic_communication</w:t>
                  </w:r>
                </w:p>
              </w:tc>
              <w:tc>
                <w:tcPr/>
                <w:p>
                  <w:pPr>
                    <w:pStyle w:val="Compact"/>
                    <w:jc w:val="left"/>
                    <w:jc w:val="center"/>
                  </w:pPr>
                  <w:r>
                    <w:t xml:space="preserve">88</w:t>
                  </w:r>
                </w:p>
              </w:tc>
              <w:tc>
                <w:tcPr/>
                <w:p>
                  <w:pPr>
                    <w:pStyle w:val="Compact"/>
                    <w:jc w:val="left"/>
                    <w:jc w:val="center"/>
                  </w:pPr>
                  <w:r>
                    <w:t xml:space="preserve">57.50</w:t>
                  </w:r>
                </w:p>
              </w:tc>
              <w:tc>
                <w:tcPr/>
                <w:p>
                  <w:pPr>
                    <w:pStyle w:val="Compact"/>
                    <w:jc w:val="left"/>
                    <w:jc w:val="center"/>
                  </w:pPr>
                  <w:r>
                    <w:t xml:space="preserve">30.50</w:t>
                  </w:r>
                </w:p>
              </w:tc>
              <w:tc>
                <w:tcPr/>
                <w:p>
                  <w:pPr>
                    <w:pStyle w:val="Compact"/>
                    <w:jc w:val="left"/>
                    <w:jc w:val="center"/>
                  </w:pPr>
                  <w:r>
                    <w:t xml:space="preserve">False</w:t>
                  </w:r>
                </w:p>
              </w:tc>
              <w:tc>
                <w:tcPr/>
                <w:p>
                  <w:pPr>
                    <w:pStyle w:val="Compact"/>
                    <w:jc w:val="left"/>
                    <w:jc w:val="center"/>
                  </w:pPr>
                  <w:r>
                    <w:t xml:space="preserve">False</w:t>
                  </w:r>
                </w:p>
              </w:tc>
            </w:tr>
          </w:tbl>
          <w:bookmarkEnd w:id="51"/>
          <w:p/>
        </w:tc>
      </w:tr>
    </w:tbl>
    <w:bookmarkEnd w:id="52"/>
    <w:bookmarkEnd w:id="53"/>
    <w:bookmarkStart w:id="62" w:name="references"/>
    <w:p>
      <w:pPr>
        <w:pStyle w:val="Heading1"/>
      </w:pPr>
      <w:r>
        <w:t xml:space="preserve">References</w:t>
      </w:r>
    </w:p>
    <w:bookmarkStart w:id="61" w:name="refs"/>
    <w:bookmarkStart w:id="54" w:name="ref-aczel2021billion"/>
    <w:p>
      <w:pPr>
        <w:pStyle w:val="Bibliography"/>
      </w:pPr>
      <w:r>
        <w:t xml:space="preserve">Aczel, Balazs, Barnabas Szaszi, and Alex O Holcombe,</w:t>
      </w:r>
      <w:r>
        <w:t xml:space="preserve"> </w:t>
      </w:r>
      <w:r>
        <w:t xml:space="preserve">“A billion-dollar donation: Estimating the cost of researchers’ time spent on peer review,”</w:t>
      </w:r>
      <w:r>
        <w:t xml:space="preserve"> </w:t>
      </w:r>
      <w:r>
        <w:rPr>
          <w:iCs/>
          <w:i/>
        </w:rPr>
        <w:t xml:space="preserve">Research integrity and peer review</w:t>
      </w:r>
      <w:r>
        <w:t xml:space="preserve">, 6 (2021), 1–8 (Springer).</w:t>
      </w:r>
    </w:p>
    <w:bookmarkEnd w:id="54"/>
    <w:bookmarkStart w:id="56" w:name="ref-eger2025"/>
    <w:p>
      <w:pPr>
        <w:pStyle w:val="Bibliography"/>
      </w:pPr>
      <w:r>
        <w:t xml:space="preserve">Eger, Steffen, Yong Cao, Jennifer D’Souza, Andreas Geiger, Christian Greisinger, Stephanie Gross, Yufang Hou, Brigitte Krenn, Anne Lauscher, Yizhi Li, Chenghua Lin, Nafise Sadat Moosavi, Wei Zhao, and Tristan Miller,</w:t>
      </w:r>
      <w:r>
        <w:t xml:space="preserve"> </w:t>
      </w:r>
      <w:r>
        <w:t xml:space="preserve">“</w:t>
      </w:r>
      <w:hyperlink r:id="rId55">
        <w:r>
          <w:rPr>
            <w:rStyle w:val="Hyperlink"/>
          </w:rPr>
          <w:t xml:space="preserve">Transforming science with large language models: A survey on AI-assisted scientific discovery, experimentation, content generation, and evaluation</w:t>
        </w:r>
      </w:hyperlink>
      <w:r>
        <w:t xml:space="preserve">,”</w:t>
      </w:r>
      <w:r>
        <w:t xml:space="preserve"> </w:t>
      </w:r>
      <w:r>
        <w:rPr>
          <w:iCs/>
          <w:i/>
        </w:rPr>
        <w:t xml:space="preserve">arXiv preprint arXiv:2505.05151</w:t>
      </w:r>
      <w:r>
        <w:t xml:space="preserve">, (2025).</w:t>
      </w:r>
    </w:p>
    <w:bookmarkEnd w:id="56"/>
    <w:bookmarkStart w:id="58" w:name="ref-Luo2025"/>
    <w:p>
      <w:pPr>
        <w:pStyle w:val="Bibliography"/>
      </w:pPr>
      <w:r>
        <w:t xml:space="preserve">Luo, Ziming, Zonglin Yang, Zexin Xu, Wei Yang, and Xinya Du,</w:t>
      </w:r>
      <w:r>
        <w:t xml:space="preserve"> </w:t>
      </w:r>
      <w:r>
        <w:t xml:space="preserve">“</w:t>
      </w:r>
      <w:hyperlink r:id="rId57">
        <w:r>
          <w:rPr>
            <w:rStyle w:val="Hyperlink"/>
          </w:rPr>
          <w:t xml:space="preserve">LLM4SR: A survey on large language models for scientific research</w:t>
        </w:r>
      </w:hyperlink>
      <w:r>
        <w:t xml:space="preserve">,”</w:t>
      </w:r>
      <w:r>
        <w:t xml:space="preserve"> </w:t>
      </w:r>
      <w:r>
        <w:rPr>
          <w:iCs/>
          <w:i/>
        </w:rPr>
        <w:t xml:space="preserve">arXiv preprint arXiv:2501.04306</w:t>
      </w:r>
      <w:r>
        <w:t xml:space="preserve">, (2025).</w:t>
      </w:r>
    </w:p>
    <w:bookmarkEnd w:id="58"/>
    <w:bookmarkStart w:id="60" w:name="ref-Zhang2025"/>
    <w:p>
      <w:pPr>
        <w:pStyle w:val="Bibliography"/>
      </w:pPr>
      <w:r>
        <w:t xml:space="preserve">Zhang, Tianmai M, and Neil F Abernethy,</w:t>
      </w:r>
      <w:r>
        <w:t xml:space="preserve"> </w:t>
      </w:r>
      <w:r>
        <w:t xml:space="preserve">“</w:t>
      </w:r>
      <w:hyperlink r:id="rId59">
        <w:r>
          <w:rPr>
            <w:rStyle w:val="Hyperlink"/>
          </w:rPr>
          <w:t xml:space="preserve">Reviewing scientific papers for critical problems with reasoning LLMs: Baseline approaches and automatic evaluation</w:t>
        </w:r>
      </w:hyperlink>
      <w:r>
        <w:t xml:space="preserve">,”</w:t>
      </w:r>
      <w:r>
        <w:t xml:space="preserve"> </w:t>
      </w:r>
      <w:r>
        <w:rPr>
          <w:iCs/>
          <w:i/>
        </w:rPr>
        <w:t xml:space="preserve">arXiv preprint arXiv:2505.23824</w:t>
      </w:r>
      <w:r>
        <w:t xml:space="preserve">, (2025).</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9" Target="media/rId39.png" /><Relationship Type="http://schemas.openxmlformats.org/officeDocument/2006/relationships/image" Id="rId34" Target="media/rId34.png" /><Relationship Type="http://schemas.openxmlformats.org/officeDocument/2006/relationships/image" Id="rId47" Target="media/rId47.png" /><Relationship Type="http://schemas.openxmlformats.org/officeDocument/2006/relationships/hyperlink" Id="rId57" Target="https://arxiv.org/abs/2501.04306" TargetMode="External" /><Relationship Type="http://schemas.openxmlformats.org/officeDocument/2006/relationships/hyperlink" Id="rId55" Target="https://arxiv.org/abs/2502.05151" TargetMode="External" /><Relationship Type="http://schemas.openxmlformats.org/officeDocument/2006/relationships/hyperlink" Id="rId59" Target="https://arxiv.org/abs/2505.23824v2" TargetMode="External" /><Relationship Type="http://schemas.openxmlformats.org/officeDocument/2006/relationships/hyperlink" Id="rId28" Target="https://globalimpact.gitbook.io/the-unjournal-project-and-communication-space/policies-projects-evaluation-workflow/evaluation/guidelines-for-evaluators#undefined-1" TargetMode="External" /><Relationship Type="http://schemas.openxmlformats.org/officeDocument/2006/relationships/hyperlink" Id="rId27" Target="numerical_ratings.qmd" TargetMode="External" /></Relationships>
</file>

<file path=word/_rels/footnotes.xml.rels><?xml version="1.0" encoding="UTF-8"?><Relationships xmlns="http://schemas.openxmlformats.org/package/2006/relationships"><Relationship Type="http://schemas.openxmlformats.org/officeDocument/2006/relationships/hyperlink" Id="rId57" Target="https://arxiv.org/abs/2501.04306" TargetMode="External" /><Relationship Type="http://schemas.openxmlformats.org/officeDocument/2006/relationships/hyperlink" Id="rId55" Target="https://arxiv.org/abs/2502.05151" TargetMode="External" /><Relationship Type="http://schemas.openxmlformats.org/officeDocument/2006/relationships/hyperlink" Id="rId59" Target="https://arxiv.org/abs/2505.23824v2" TargetMode="External" /><Relationship Type="http://schemas.openxmlformats.org/officeDocument/2006/relationships/hyperlink" Id="rId28" Target="https://globalimpact.gitbook.io/the-unjournal-project-and-communication-space/policies-projects-evaluation-workflow/evaluation/guidelines-for-evaluators#undefined-1" TargetMode="External" /><Relationship Type="http://schemas.openxmlformats.org/officeDocument/2006/relationships/hyperlink" Id="rId27" Target="numerical_rating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LLM and human peer reviews and ratings of social science research using data from Unjournal.org evaluations</dc:title>
  <dc:creator>David Reinstein; Valentin Klotzbücher</dc:creator>
  <cp:keywords/>
  <dcterms:created xsi:type="dcterms:W3CDTF">2025-09-06T09:16:24Z</dcterms:created>
  <dcterms:modified xsi:type="dcterms:W3CDTF">2025-09-06T09:16:24Z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will build and refine LLM tools to generate peer-reviews and ratings of impactful research, and compare these with human experts’ work (esp. from Unjournal.org): to benchmark performance, understand AI’s research taste, and develop tools to improve research evaluation and dissemination.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the-quarterly-journal-of-economics.csl</vt:lpwstr>
  </property>
  <property fmtid="{D5CDD505-2E9C-101B-9397-08002B2CF9AE}" pid="12" name="date">
    <vt:lpwstr>2025-09-06</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k-citations">
    <vt:lpwstr>True</vt:lpwstr>
  </property>
  <property fmtid="{D5CDD505-2E9C-101B-9397-08002B2CF9AE}" pid="18" name="template-partials">
    <vt:lpwstr/>
  </property>
  <property fmtid="{D5CDD505-2E9C-101B-9397-08002B2CF9AE}" pid="19" name="toc-title">
    <vt:lpwstr>Table of contents</vt:lpwstr>
  </property>
</Properties>
</file>