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</w:t>
      </w:r>
      <w:r>
        <w:t xml:space="preserve"> </w:t>
      </w:r>
      <w:r>
        <w:t xml:space="preserve">assumptions</w:t>
      </w:r>
      <w:r>
        <w:t xml:space="preserve"> </w:t>
      </w:r>
      <w:r>
        <w:t xml:space="preserve">of</w:t>
      </w:r>
      <w:r>
        <w:t xml:space="preserve"> </w:t>
      </w:r>
      <w:r>
        <w:t xml:space="preserve">repeated-visits,</w:t>
      </w:r>
      <w:r>
        <w:t xml:space="preserve"> </w:t>
      </w:r>
      <w:r>
        <w:t xml:space="preserve">single-visit,</w:t>
      </w:r>
      <w:r>
        <w:t xml:space="preserve"> </w:t>
      </w:r>
      <w:r>
        <w:t xml:space="preserve">and</w:t>
      </w:r>
      <w:r>
        <w:t xml:space="preserve"> </w:t>
      </w:r>
      <w:r>
        <w:t xml:space="preserve">integrated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Valentin</w:t>
      </w:r>
      <w:r>
        <w:t xml:space="preserve"> </w:t>
      </w:r>
      <w:r>
        <w:t xml:space="preserve">Lauret,</w:t>
      </w:r>
      <w:r>
        <w:t xml:space="preserve"> </w:t>
      </w:r>
      <w:r>
        <w:t xml:space="preserve">Hélène</w:t>
      </w:r>
      <w:r>
        <w:t xml:space="preserve"> </w:t>
      </w:r>
      <w:r>
        <w:t xml:space="preserve">Labach,</w:t>
      </w:r>
      <w:r>
        <w:t xml:space="preserve"> </w:t>
      </w:r>
      <w:r>
        <w:t xml:space="preserve">Matthieu</w:t>
      </w:r>
      <w:r>
        <w:t xml:space="preserve"> </w:t>
      </w:r>
      <w:r>
        <w:t xml:space="preserve">Authier,</w:t>
      </w:r>
      <w:r>
        <w:t xml:space="preserve"> </w:t>
      </w:r>
      <w:r>
        <w:t xml:space="preserve">Olivier</w:t>
      </w:r>
      <w:r>
        <w:t xml:space="preserve"> </w:t>
      </w:r>
      <w:r>
        <w:t xml:space="preserve">Gimenez</w:t>
      </w:r>
    </w:p>
    <w:p>
      <w:pPr>
        <w:pStyle w:val="Date"/>
      </w:pPr>
      <w:r>
        <w:t xml:space="preserve">26/03/2021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Supporting information of the article</w:t>
      </w:r>
      <w:r>
        <w:t xml:space="preserve"> </w:t>
      </w:r>
      <w:r>
        <w:rPr>
          <w:iCs/>
          <w:i/>
        </w:rPr>
        <w:t xml:space="preserve">Using single visits into integrated occupancy models to make the most of existing monitoring programs.</w:t>
      </w:r>
    </w:p>
    <w:bookmarkStart w:id="24" w:name="modeling-assumptions"/>
    <w:p>
      <w:pPr>
        <w:pStyle w:val="Heading1"/>
      </w:pPr>
      <w:r>
        <w:t xml:space="preserve">Modeling assumptions</w:t>
      </w:r>
    </w:p>
    <w:p>
      <w:pPr>
        <w:pStyle w:val="FirstParagraph"/>
      </w:pPr>
      <w:r>
        <w:t xml:space="preserve">In this section we aimed to list the modeling assumptions of the Repeated-Visits (RV), Single-Visit (SV), and Integrated occupancy models that we ran in the manuscript.</w:t>
      </w:r>
    </w:p>
    <w:bookmarkStart w:id="20" w:name="repeated-visits-occupancy-models"/>
    <w:p>
      <w:pPr>
        <w:pStyle w:val="Heading2"/>
      </w:pPr>
      <w:r>
        <w:t xml:space="preserve">Repeated-visits occupancy models</w:t>
      </w:r>
    </w:p>
    <w:p>
      <w:pPr>
        <w:pStyle w:val="FirstParagraph"/>
      </w:pPr>
      <w:r>
        <w:t xml:space="preserve">Citing,</w:t>
      </w:r>
      <w:r>
        <w:t xml:space="preserve"> </w:t>
      </w:r>
      <w:r>
        <w:t xml:space="preserve">(MacKenzie 2006)</w:t>
      </w:r>
      <w:r>
        <w:t xml:space="preserve">, there are several critical assumptions for the standard occupancy model, i.e. RV occupancy.</w:t>
      </w:r>
    </w:p>
    <w:p>
      <w:pPr>
        <w:numPr>
          <w:ilvl w:val="0"/>
          <w:numId w:val="1001"/>
        </w:numPr>
      </w:pPr>
      <w:r>
        <w:t xml:space="preserve">Occupancy status at each site does not change over the survey season; that is, sites are</w:t>
      </w:r>
      <w:r>
        <w:t xml:space="preserve"> </w:t>
      </w:r>
      <w:r>
        <w:t xml:space="preserve">“</w:t>
      </w:r>
      <w:r>
        <w:t xml:space="preserve">closed</w:t>
      </w:r>
      <w:r>
        <w:t xml:space="preserve">”</w:t>
      </w:r>
      <w:r>
        <w:t xml:space="preserve"> </w:t>
      </w:r>
      <w:r>
        <w:t xml:space="preserve">to changes in occupancy</w:t>
      </w:r>
    </w:p>
    <w:p>
      <w:pPr>
        <w:numPr>
          <w:ilvl w:val="0"/>
          <w:numId w:val="1001"/>
        </w:numPr>
      </w:pPr>
      <w:r>
        <w:t xml:space="preserve">The probability of occupancy is constant across sites, or differences in occupancy probability are modeled using covariates</w:t>
      </w:r>
    </w:p>
    <w:p>
      <w:pPr>
        <w:numPr>
          <w:ilvl w:val="0"/>
          <w:numId w:val="1001"/>
        </w:numPr>
      </w:pPr>
      <w:r>
        <w:t xml:space="preserve">The probability of detection is constant across all sites and surveys or is a function of site-survey covariates</w:t>
      </w:r>
    </w:p>
    <w:p>
      <w:pPr>
        <w:numPr>
          <w:ilvl w:val="0"/>
          <w:numId w:val="1001"/>
        </w:numPr>
      </w:pPr>
      <w:r>
        <w:t xml:space="preserve">There is no unmodeled heterogeneity in detection probabilities</w:t>
      </w:r>
    </w:p>
    <w:p>
      <w:pPr>
        <w:numPr>
          <w:ilvl w:val="0"/>
          <w:numId w:val="1001"/>
        </w:numPr>
      </w:pPr>
      <w:r>
        <w:t xml:space="preserve">Detection of species and detection histories at each location are independent</w:t>
      </w:r>
    </w:p>
    <w:bookmarkEnd w:id="20"/>
    <w:bookmarkStart w:id="21" w:name="single-visit-occupancy"/>
    <w:p>
      <w:pPr>
        <w:pStyle w:val="Heading2"/>
      </w:pPr>
      <w:r>
        <w:t xml:space="preserve">Single-visit occupancy</w:t>
      </w:r>
    </w:p>
    <w:p>
      <w:pPr>
        <w:pStyle w:val="FirstParagraph"/>
      </w:pPr>
      <w:r>
        <w:t xml:space="preserve">Developing SV occupancy models,</w:t>
      </w:r>
      <w:r>
        <w:t xml:space="preserve"> </w:t>
      </w:r>
      <w:r>
        <w:t xml:space="preserve">(Lele, Moreno, and Bayne 2012)</w:t>
      </w:r>
      <w:r>
        <w:t xml:space="preserve"> </w:t>
      </w:r>
      <w:r>
        <w:t xml:space="preserve">underlined that SV occupancy relax the closure assumption of sampled sites between visits. Besides, the literature about SV provide some requirements and guidance to a valid application of SV occupancy models. We listed the elements below:</w:t>
      </w:r>
    </w:p>
    <w:p>
      <w:pPr>
        <w:numPr>
          <w:ilvl w:val="0"/>
          <w:numId w:val="1002"/>
        </w:numPr>
      </w:pPr>
      <w:r>
        <w:t xml:space="preserve">Occupancy probability and detection probability depend on covariates</w:t>
      </w:r>
    </w:p>
    <w:p>
      <w:pPr>
        <w:numPr>
          <w:ilvl w:val="0"/>
          <w:numId w:val="1002"/>
        </w:numPr>
      </w:pPr>
      <w:r>
        <w:t xml:space="preserve">At least two independant continuous covariates are used to estimate occupancy probability and detection probability. Shared covariates can result in biased estimates for regression coefficients.</w:t>
      </w:r>
    </w:p>
    <w:p>
      <w:pPr>
        <w:numPr>
          <w:ilvl w:val="0"/>
          <w:numId w:val="1002"/>
        </w:numPr>
      </w:pPr>
      <w:r>
        <w:t xml:space="preserve">Ensure adequate numbers of occurrence.</w:t>
      </w:r>
      <w:r>
        <w:t xml:space="preserve"> </w:t>
      </w:r>
      <w:r>
        <w:t xml:space="preserve">(Peach, Cohen, and Frair 2017)</w:t>
      </w:r>
      <w:r>
        <w:t xml:space="preserve">, suggested that</w:t>
      </w:r>
      <w:r>
        <w:t xml:space="preserve"> </w:t>
      </w:r>
      <w:r>
        <w:t xml:space="preserve">“</w:t>
      </w:r>
      <w:r>
        <w:t xml:space="preserve">estimates of occupancy probability remained unbiased across our scenarios, whereas colonization and extinction estimates became biased as occupancy probability approached extremes (i.e. 0.1 or 0.9).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Prefer nonlinear detection model to provide accurate parameter estimates and to assume a more realistic relationship between detection and effort</w:t>
      </w:r>
      <w:r>
        <w:t xml:space="preserve"> </w:t>
      </w:r>
      <w:r>
        <w:t xml:space="preserve">(Knape and Korner-Nievergelt 2015)</w:t>
      </w:r>
      <w:r>
        <w:t xml:space="preserve"> </w:t>
      </w:r>
      <w:r>
        <w:t xml:space="preserve">for single-visit occupancy models.</w:t>
      </w:r>
    </w:p>
    <w:bookmarkEnd w:id="21"/>
    <w:bookmarkStart w:id="22" w:name="integrated-occupancy-models"/>
    <w:p>
      <w:pPr>
        <w:pStyle w:val="Heading2"/>
      </w:pPr>
      <w:r>
        <w:t xml:space="preserve">Integrated occupancy models</w:t>
      </w:r>
    </w:p>
    <w:p>
      <w:pPr>
        <w:pStyle w:val="FirstParagraph"/>
      </w:pPr>
      <w:r>
        <w:t xml:space="preserve">Combining multiple datasets into occupancy models have been developed previously by</w:t>
      </w:r>
      <w:r>
        <w:t xml:space="preserve"> </w:t>
      </w:r>
      <w:r>
        <w:t xml:space="preserve">(Nichols et al. 2008)</w:t>
      </w:r>
      <w:r>
        <w:t xml:space="preserve"> </w:t>
      </w:r>
      <w:r>
        <w:t xml:space="preserve">in details by estimating occupancy at two the spatial scales. In our integration process, we extended the parametrization of a standard occupancy model detection process to include two different datasets with different detection probabilities. Doing it, we must assume that</w:t>
      </w:r>
    </w:p>
    <w:p>
      <w:pPr>
        <w:numPr>
          <w:ilvl w:val="0"/>
          <w:numId w:val="1003"/>
        </w:numPr>
        <w:pStyle w:val="Compact"/>
      </w:pPr>
      <w:r>
        <w:t xml:space="preserve">the two monitoring programs are independent, i.e. detection by program 1 does not affect detection probability of program 2.</w:t>
      </w:r>
    </w:p>
    <w:p>
      <w:pPr>
        <w:pStyle w:val="FirstParagraph"/>
      </w:pPr>
      <w:r>
        <w:t xml:space="preserve">Subsequently, integrated repeated-visits occupancy models have the modeling assumption of both RV occupancy and of integrated occupancy. Similarly, using integrated single-visit occupancy models cumulate both the assumptions of SV occupancy and of integrated occupancy.</w:t>
      </w:r>
    </w:p>
    <w:bookmarkEnd w:id="22"/>
    <w:bookmarkStart w:id="23" w:name="X0fb339fab5892fb14bea71e0b7091e7b8737ea9"/>
    <w:p>
      <w:pPr>
        <w:pStyle w:val="Heading2"/>
      </w:pPr>
      <w:r>
        <w:t xml:space="preserve">Summarize the modeling assumptions in a table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36"/>
        <w:gridCol w:w="2436"/>
        <w:gridCol w:w="3046"/>
      </w:tblGrid>
      <w:tr>
        <w:tc>
          <w:p>
            <w:pPr>
              <w:pStyle w:val="Compact"/>
              <w:jc w:val="center"/>
            </w:pPr>
            <w:r>
              <w:t xml:space="preserve">Modeling assumptions</w:t>
            </w:r>
          </w:p>
        </w:tc>
        <w:tc>
          <w:p>
            <w:pPr>
              <w:pStyle w:val="Compact"/>
              <w:jc w:val="center"/>
            </w:pPr>
            <w:r>
              <w:t xml:space="preserve">RV occupancy</w:t>
            </w:r>
          </w:p>
        </w:tc>
        <w:tc>
          <w:p>
            <w:pPr>
              <w:pStyle w:val="Compact"/>
              <w:jc w:val="center"/>
            </w:pPr>
            <w:r>
              <w:t xml:space="preserve">SV occupancy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Closure assumption, i.e. site does not change over the survey season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Latent occupancy process</w:t>
            </w:r>
          </w:p>
        </w:tc>
        <w:tc>
          <w:p>
            <w:pPr>
              <w:pStyle w:val="Compact"/>
              <w:jc w:val="center"/>
            </w:pPr>
            <w:r>
              <w:t xml:space="preserve">Occupancy prob. constant across sites, or modeled with covariates</w:t>
            </w:r>
          </w:p>
        </w:tc>
        <w:tc>
          <w:p>
            <w:pPr>
              <w:pStyle w:val="Compact"/>
              <w:jc w:val="center"/>
            </w:pPr>
            <w:r>
              <w:t xml:space="preserve">Continuous covariate needed,</w:t>
            </w:r>
            <w:r>
              <w:t xml:space="preserve"> </w:t>
            </w:r>
            <w:r>
              <w:rPr>
                <w:bCs/>
                <w:b/>
              </w:rPr>
              <w:t xml:space="preserve">independant from the covariate used for the detection prob.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Detection process</w:t>
            </w:r>
          </w:p>
        </w:tc>
        <w:tc>
          <w:p>
            <w:pPr>
              <w:pStyle w:val="Compact"/>
              <w:jc w:val="center"/>
            </w:pPr>
            <w:r>
              <w:t xml:space="preserve">Detection prob. constant across sites, or modeled with covariates</w:t>
            </w:r>
          </w:p>
        </w:tc>
        <w:tc>
          <w:p>
            <w:pPr>
              <w:pStyle w:val="Compact"/>
              <w:jc w:val="center"/>
            </w:pPr>
            <w:r>
              <w:t xml:space="preserve">Continuous covariate needed,</w:t>
            </w:r>
            <w:r>
              <w:t xml:space="preserve"> </w:t>
            </w:r>
            <w:r>
              <w:rPr>
                <w:bCs/>
                <w:b/>
              </w:rPr>
              <w:t xml:space="preserve">independant from the covariate used for the occupancy prob.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unmodeled heterogeneity in detection prob.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Detection of species and detection histories at each site are independent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Proportion of occurence over the total number of sites is &gt; 10%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Data integration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Integrated RV occupancy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Integrated SV occupancy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Detection process</w:t>
            </w:r>
          </w:p>
        </w:tc>
        <w:tc>
          <w:p>
            <w:pPr>
              <w:pStyle w:val="Compact"/>
              <w:jc w:val="center"/>
            </w:pPr>
            <w:r>
              <w:t xml:space="preserve">Monitoring programs must be independent, or dependency must be accounted.</w:t>
            </w:r>
          </w:p>
        </w:tc>
        <w:tc>
          <w:p>
            <w:pPr>
              <w:pStyle w:val="Compact"/>
              <w:jc w:val="center"/>
            </w:pPr>
            <w:r>
              <w:t xml:space="preserve">Monitoring programs must be independent, or dependency must be accounted.</w:t>
            </w:r>
          </w:p>
        </w:tc>
      </w:tr>
    </w:tbl>
    <w:bookmarkEnd w:id="23"/>
    <w:bookmarkEnd w:id="24"/>
    <w:bookmarkStart w:id="35" w:name="literature-cited"/>
    <w:p>
      <w:pPr>
        <w:pStyle w:val="Heading1"/>
      </w:pPr>
      <w:r>
        <w:t xml:space="preserve">Literature cited</w:t>
      </w:r>
    </w:p>
    <w:bookmarkStart w:id="34" w:name="refs"/>
    <w:bookmarkStart w:id="26" w:name="ref-knape2015"/>
    <w:p>
      <w:pPr>
        <w:pStyle w:val="Bibliography"/>
      </w:pPr>
      <w:r>
        <w:t xml:space="preserve">Knape, Jonas, and Fränzi Korner-Nievergelt. 2015.</w:t>
      </w:r>
      <w:r>
        <w:t xml:space="preserve"> </w:t>
      </w:r>
      <w:r>
        <w:t xml:space="preserve">“Estimates from Non</w:t>
      </w:r>
      <w:r>
        <w:t xml:space="preserve">-</w:t>
      </w:r>
      <w:r>
        <w:t xml:space="preserve">Replicated Population Surveys Rely on Critical Assumptions.”</w:t>
      </w:r>
      <w:r>
        <w:t xml:space="preserve"> </w:t>
      </w:r>
      <w:r>
        <w:t xml:space="preserve">Edited by Nigel Yoccoz.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6 (3): 298–306.</w:t>
      </w:r>
      <w:r>
        <w:t xml:space="preserve"> </w:t>
      </w:r>
      <w:hyperlink r:id="rId25">
        <w:r>
          <w:rPr>
            <w:rStyle w:val="Hyperlink"/>
          </w:rPr>
          <w:t xml:space="preserve">https://doi.org/10.1111/2041-210X.12329</w:t>
        </w:r>
      </w:hyperlink>
      <w:r>
        <w:t xml:space="preserve">.</w:t>
      </w:r>
    </w:p>
    <w:bookmarkEnd w:id="26"/>
    <w:bookmarkStart w:id="28" w:name="ref-lele2012"/>
    <w:p>
      <w:pPr>
        <w:pStyle w:val="Bibliography"/>
      </w:pPr>
      <w:r>
        <w:t xml:space="preserve">Lele, S. R., M. Moreno, and E. Bayne. 2012.</w:t>
      </w:r>
      <w:r>
        <w:t xml:space="preserve"> </w:t>
      </w:r>
      <w:r>
        <w:t xml:space="preserve">“Dealing with Detection Error in Site Occupancy Surveys: What Can We Do with a Single Survey?”</w:t>
      </w:r>
      <w:r>
        <w:t xml:space="preserve"> </w:t>
      </w:r>
      <w:r>
        <w:rPr>
          <w:iCs/>
          <w:i/>
        </w:rPr>
        <w:t xml:space="preserve">Journal of Plant Ecology</w:t>
      </w:r>
      <w:r>
        <w:t xml:space="preserve"> </w:t>
      </w:r>
      <w:r>
        <w:t xml:space="preserve">5 (1): 22–31.</w:t>
      </w:r>
      <w:r>
        <w:t xml:space="preserve"> </w:t>
      </w:r>
      <w:hyperlink r:id="rId27">
        <w:r>
          <w:rPr>
            <w:rStyle w:val="Hyperlink"/>
          </w:rPr>
          <w:t xml:space="preserve">https://doi.org/10.1093/jpe/rtr042</w:t>
        </w:r>
      </w:hyperlink>
      <w:r>
        <w:t xml:space="preserve">.</w:t>
      </w:r>
    </w:p>
    <w:bookmarkEnd w:id="28"/>
    <w:bookmarkStart w:id="29" w:name="ref-occupanc2006"/>
    <w:p>
      <w:pPr>
        <w:pStyle w:val="Bibliography"/>
      </w:pPr>
      <w:r>
        <w:t xml:space="preserve">MacKenzie, Darryl I., ed. 2006.</w:t>
      </w:r>
      <w:r>
        <w:t xml:space="preserve"> </w:t>
      </w:r>
      <w:r>
        <w:rPr>
          <w:iCs/>
          <w:i/>
        </w:rPr>
        <w:t xml:space="preserve">Occupancy Estimation and Modeling: Inferring Patterns and Dynamics of Species</w:t>
      </w:r>
      <w:r>
        <w:t xml:space="preserve">. Amsterdam ; Boston: Elsevier.</w:t>
      </w:r>
    </w:p>
    <w:bookmarkEnd w:id="29"/>
    <w:bookmarkStart w:id="31" w:name="ref-nichols2008"/>
    <w:p>
      <w:pPr>
        <w:pStyle w:val="Bibliography"/>
      </w:pPr>
      <w:r>
        <w:t xml:space="preserve">Nichols, James D., Larissa L. Bailey, Allan F. O’Connell Jr., Neil W. Talancy, Evan H. Campbell Grant, Andrew T. Gilbert, Elizabeth M. Annand, Thomas P. Husband, and James E. Hines. 2008.</w:t>
      </w:r>
      <w:r>
        <w:t xml:space="preserve"> </w:t>
      </w:r>
      <w:r>
        <w:t xml:space="preserve">“Multi-Scale Occupancy Estimation and Modelling Using Multiple Detection Methods.”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t xml:space="preserve">45 (5): 1321–29.</w:t>
      </w:r>
      <w:r>
        <w:t xml:space="preserve"> </w:t>
      </w:r>
      <w:hyperlink r:id="rId30">
        <w:r>
          <w:rPr>
            <w:rStyle w:val="Hyperlink"/>
          </w:rPr>
          <w:t xml:space="preserve">https://doi.org/10.1111/j.1365-2664.2008.01509.x</w:t>
        </w:r>
      </w:hyperlink>
      <w:r>
        <w:t xml:space="preserve">.</w:t>
      </w:r>
    </w:p>
    <w:bookmarkEnd w:id="31"/>
    <w:bookmarkStart w:id="33" w:name="ref-peach2017"/>
    <w:p>
      <w:pPr>
        <w:pStyle w:val="Bibliography"/>
      </w:pPr>
      <w:r>
        <w:t xml:space="preserve">Peach, Michelle A., Jonathan B. Cohen, and Jacqueline L. Frair. 2017.</w:t>
      </w:r>
      <w:r>
        <w:t xml:space="preserve"> </w:t>
      </w:r>
      <w:r>
        <w:t xml:space="preserve">“Single-Visit Dynamic Occupancy Models: An Approach to Account for Imperfect Detection with Atlas Data.”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t xml:space="preserve">54 (6): 2033–42.</w:t>
      </w:r>
      <w:r>
        <w:t xml:space="preserve"> </w:t>
      </w:r>
      <w:hyperlink r:id="rId32">
        <w:r>
          <w:rPr>
            <w:rStyle w:val="Hyperlink"/>
          </w:rPr>
          <w:t xml:space="preserve">https://doi.org/10.1111/1365-2664.12925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i.org/10.1093/jpe/rtr042" TargetMode="External" /><Relationship Type="http://schemas.openxmlformats.org/officeDocument/2006/relationships/hyperlink" Id="rId32" Target="https://doi.org/10.1111/1365-2664.12925" TargetMode="External" /><Relationship Type="http://schemas.openxmlformats.org/officeDocument/2006/relationships/hyperlink" Id="rId25" Target="https://doi.org/10.1111/2041-210X.12329" TargetMode="External" /><Relationship Type="http://schemas.openxmlformats.org/officeDocument/2006/relationships/hyperlink" Id="rId30" Target="https://doi.org/10.1111/j.1365-2664.2008.01509.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1093/jpe/rtr042" TargetMode="External" /><Relationship Type="http://schemas.openxmlformats.org/officeDocument/2006/relationships/hyperlink" Id="rId32" Target="https://doi.org/10.1111/1365-2664.12925" TargetMode="External" /><Relationship Type="http://schemas.openxmlformats.org/officeDocument/2006/relationships/hyperlink" Id="rId25" Target="https://doi.org/10.1111/2041-210X.12329" TargetMode="External" /><Relationship Type="http://schemas.openxmlformats.org/officeDocument/2006/relationships/hyperlink" Id="rId30" Target="https://doi.org/10.1111/j.1365-2664.2008.01509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assumptions of repeated-visits, single-visit, and integrated occupancy models</dc:title>
  <dc:creator>Valentin Lauret, Hélène Labach, Matthieu Authier, Olivier Gimenez</dc:creator>
  <cp:keywords/>
  <dcterms:created xsi:type="dcterms:W3CDTF">2021-03-30T15:08:07Z</dcterms:created>
  <dcterms:modified xsi:type="dcterms:W3CDTF">2021-03-30T15:08:07Z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26/03/2021</vt:lpwstr>
  </property>
  <property fmtid="{D5CDD505-2E9C-101B-9397-08002B2CF9AE}" pid="4" name="output">
    <vt:lpwstr/>
  </property>
</Properties>
</file>