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21"/>
        <w:tblBorders>
          <w:top w:val="none" w:color="FFFFFF" w:sz="0"/>
          <w:left w:val="none" w:color="FFFFFF" w:sz="0"/>
          <w:bottom w:val="none" w:color="FFFFFF" w:sz="0"/>
          <w:right w:val="none" w:color="FFFFFF" w:sz="0"/>
          <w:insideH w:val="none" w:color="FFFFFF" w:sz="0"/>
          <w:insideV w:val="none" w:color="FFFFFF" w:sz="0"/>
        </w:tblBorders>
      </w:tblPr>
      <w:tblGrid>
        <w:gridCol w:w="3100"/>
        <w:gridCol w:w="6821"/>
      </w:tblGrid>
      <w:tr>
        <w:tc>
          <w:tcPr>
            <w:tcW w:type="dxa" w:w="3100"/>
            <w:tcBorders>
              <w:top w:val="none" w:color="FFFFFF" w:sz="0"/>
              <w:left w:val="none" w:color="FFFFFF" w:sz="0"/>
              <w:bottom w:val="none" w:color="FFFFFF" w:sz="0"/>
              <w:right w:val="none" w:color="FFFFFF" w:sz="0"/>
            </w:tcBorders>
            <w:vAlign w:val="center"/>
          </w:tcPr>
          <w:p>
            <w:r>
              <w:drawing>
                <wp:inline distT="0" distB="0" distL="0" distR="0">
                  <wp:extent cx="1857375" cy="819150"/>
                  <wp:effectExtent t="0" r="0" b="0" l="0"/>
                  <wp:docPr id="1" name="logo" descr="Logo de la FCEIA" title="Logo FCE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57375" cy="819150"/>
                          </a:xfrm>
                          <a:prstGeom prst="rect">
                            <a:avLst/>
                          </a:prstGeom>
                        </pic:spPr>
                      </pic:pic>
                    </a:graphicData>
                  </a:graphic>
                </wp:inline>
              </w:drawing>
            </w:r>
          </w:p>
        </w:tc>
        <w:tc>
          <w:tcPr>
            <w:tcW w:type="dxa" w:w="6821"/>
            <w:tcBorders>
              <w:top w:val="none" w:color="FFFFFF" w:sz="0"/>
              <w:left w:val="none" w:color="FFFFFF" w:sz="0"/>
              <w:bottom w:val="none" w:color="FFFFFF" w:sz="0"/>
              <w:right w:val="none" w:color="FFFFFF" w:sz="0"/>
            </w:tcBorders>
            <w:vAlign w:val="center"/>
          </w:tcPr>
          <w:p>
            <w:pPr>
              <w:spacing w:line="276"/>
            </w:pPr>
            <w:r>
              <w:rPr>
                <w:sz w:val="26"/>
                <w:szCs w:val="26"/>
              </w:rPr>
              <w:t xml:space="preserve">UNIVERSIDAD NACIONAL DE ROSARIO FACULTAD DE CIENCIAS EXACTAS, INGENIERÍA Y AGRIMENSURA TECNICATURA UNIVERSITARIA EN INTELIGENCIA ARTIFICIAL</w:t>
            </w:r>
          </w:p>
        </w:tc>
      </w:tr>
    </w:tbl>
    <w:p>
      <w:pPr>
        <w:spacing w:after="0" w:before="3000"/>
        <w:jc w:val="center"/>
      </w:pPr>
      <w:r>
        <w:rPr>
          <w:b/>
          <w:bCs/>
          <w:sz w:val="52"/>
          <w:szCs w:val="52"/>
        </w:rPr>
        <w:t xml:space="preserve">Aprendizaje Automático 1 - TUIA</w:t>
      </w:r>
    </w:p>
    <w:p>
      <w:pPr>
        <w:spacing w:after="280" w:before="2000"/>
        <w:jc w:val="center"/>
      </w:pPr>
      <w:r>
        <w:rPr>
          <w:sz w:val="26"/>
          <w:szCs w:val="26"/>
        </w:rPr>
        <w:t xml:space="preserve">TRABAJO PRÁCTICO 1</w:t>
      </w:r>
    </w:p>
    <w:p>
      <w:pPr>
        <w:jc w:val="center"/>
      </w:pPr>
      <w:r>
        <w:rPr>
          <w:sz w:val="26"/>
          <w:szCs w:val="26"/>
        </w:rPr>
        <w:t xml:space="preserve">“Predicción de precios de casas”</w:t>
      </w:r>
    </w:p>
    <w:p>
      <w:pPr>
        <w:spacing w:after="200" w:before="4200"/>
      </w:pPr>
      <w:r>
        <w:rPr>
          <w:sz w:val="21"/>
          <w:szCs w:val="21"/>
        </w:rPr>
        <w:t xml:space="preserve">GRUPO: Civetta/Fucci/Frank/Winter</w:t>
      </w:r>
    </w:p>
    <w:p>
      <w:pPr>
        <w:spacing w:after="120"/>
      </w:pPr>
      <w:r>
        <w:rPr>
          <w:sz w:val="21"/>
          <w:szCs w:val="21"/>
        </w:rPr>
        <w:t xml:space="preserve">INTEGRANTES:</w:t>
      </w:r>
    </w:p>
    <w:p>
      <w:pPr>
        <w:pStyle w:val="ListParagraph"/>
        <w:numPr>
          <w:ilvl w:val="0"/>
          <w:numId w:val="2"/>
        </w:numPr>
        <w:spacing w:after="0"/>
      </w:pPr>
      <w:r>
        <w:rPr>
          <w:sz w:val="21"/>
          <w:szCs w:val="21"/>
        </w:rPr>
        <w:t xml:space="preserve">Civetta Valentino - Legajo: 45948755</w:t>
      </w:r>
    </w:p>
    <w:p>
      <w:pPr>
        <w:pStyle w:val="ListParagraph"/>
        <w:numPr>
          <w:ilvl w:val="0"/>
          <w:numId w:val="2"/>
        </w:numPr>
        <w:spacing w:after="0"/>
      </w:pPr>
      <w:r>
        <w:rPr>
          <w:sz w:val="21"/>
          <w:szCs w:val="21"/>
        </w:rPr>
        <w:t xml:space="preserve">Fucci Milagros - Legajo: 47076861</w:t>
      </w:r>
    </w:p>
    <w:p>
      <w:pPr>
        <w:pStyle w:val="ListParagraph"/>
        <w:numPr>
          <w:ilvl w:val="0"/>
          <w:numId w:val="2"/>
        </w:numPr>
        <w:spacing w:after="0"/>
      </w:pPr>
      <w:r>
        <w:rPr>
          <w:sz w:val="21"/>
          <w:szCs w:val="21"/>
        </w:rPr>
        <w:t xml:space="preserve">Frank Maximiliano - Legajo: 38726401</w:t>
      </w:r>
    </w:p>
    <w:p>
      <w:pPr>
        <w:pStyle w:val="ListParagraph"/>
        <w:numPr>
          <w:ilvl w:val="0"/>
          <w:numId w:val="2"/>
        </w:numPr>
        <w:spacing w:after="0"/>
      </w:pPr>
      <w:r>
        <w:rPr>
          <w:sz w:val="21"/>
          <w:szCs w:val="21"/>
        </w:rPr>
        <w:t xml:space="preserve">Winter Federico - Legajo: 44101265</w:t>
      </w:r>
    </w:p>
    <w:p>
      <w:pPr>
        <w:spacing w:after="120" w:before="480"/>
      </w:pPr>
      <w:r>
        <w:rPr>
          <w:sz w:val="21"/>
          <w:szCs w:val="21"/>
        </w:rPr>
        <w:t xml:space="preserve">DOCENTES:</w:t>
      </w:r>
    </w:p>
    <w:p>
      <w:pPr>
        <w:pStyle w:val="ListParagraph"/>
        <w:numPr>
          <w:ilvl w:val="0"/>
          <w:numId w:val="2"/>
        </w:numPr>
        <w:spacing w:after="0"/>
      </w:pPr>
      <w:r>
        <w:rPr>
          <w:sz w:val="21"/>
          <w:szCs w:val="21"/>
        </w:rPr>
        <w:t xml:space="preserve">CRENNA, Giuliano</w:t>
      </w:r>
    </w:p>
    <w:p>
      <w:pPr>
        <w:pStyle w:val="ListParagraph"/>
        <w:numPr>
          <w:ilvl w:val="0"/>
          <w:numId w:val="2"/>
        </w:numPr>
        <w:spacing w:after="0"/>
      </w:pPr>
      <w:r>
        <w:rPr>
          <w:sz w:val="21"/>
          <w:szCs w:val="21"/>
        </w:rPr>
        <w:t xml:space="preserve">AVECILLA, Tomás</w:t>
      </w:r>
    </w:p>
    <w:p>
      <w:pPr>
        <w:pStyle w:val="ListParagraph"/>
        <w:numPr>
          <w:ilvl w:val="0"/>
          <w:numId w:val="2"/>
        </w:numPr>
        <w:spacing w:after="0"/>
      </w:pPr>
      <w:r>
        <w:rPr>
          <w:sz w:val="21"/>
          <w:szCs w:val="21"/>
        </w:rPr>
        <w:t xml:space="preserve">ALSOP, Agustín</w:t>
      </w:r>
    </w:p>
    <w:p>
      <w:r>
        <w:br w:type="page"/>
      </w:r>
    </w:p>
    <w:p>
      <w:pPr>
        <w:pStyle w:val="Heading1"/>
      </w:pPr>
      <w:r>
        <w:t xml:space="preserve">Resumen</w:t>
      </w:r>
    </w:p>
    <w:p>
      <w:pPr>
        <w:spacing w:after="120" w:line="276"/>
        <w:jc w:val="both"/>
      </w:pPr>
      <w:r>
        <w:t xml:space="preserve">En este trabajo construimos modelos de regresión lineal múltiple para predecir MEDV, el valor mediano de las viviendas ocupadas por sus propietarios (en miles de dólares), a partir de las otras 13 variables de un conjunto de 556 registros basado en Boston Housing. El conjunto trae valores faltantes y valores inválidos, así que buena parte del trabajo estuvo en el preprocesamiento. Comparamos LinearRegression, tres variantes del descenso del gradiente y los modelos regularizados Ridge, Lasso y ElasticNet. Elegimos LinearRegression, con un RMSE en test de 6.43 y un R² de 0.62. Los siete modelos quedaron a menos de 0.1 de RMSE entre sí; train y test dan métricas parecidas, lo que indica que no hay sobreajuste, aunque sí algo de subajuste.</w:t>
      </w:r>
    </w:p>
    <w:p>
      <w:pPr>
        <w:pStyle w:val="Heading1"/>
      </w:pPr>
      <w:r>
        <w:t xml:space="preserve">1. Introducción</w:t>
      </w:r>
    </w:p>
    <w:p>
      <w:pPr>
        <w:spacing w:after="120" w:line="276"/>
        <w:jc w:val="both"/>
      </w:pPr>
      <w:r>
        <w:t xml:space="preserve">El objetivo es predecir MEDV a partir de las 13 variables restantes del archivo house-prices-tp.csv, que tiene 556 filas y 14 columnas numéricas (float64). Once variables de entrada son continuas: CRIM, ZN, INDUS, NOX, RM, AGE, DIS, TAX, PTRATIO, B y LSTAT. CHAS es binaria (vale 1 si el tramo limita con el río Charles) y RAD es un índice discreto de accesibilidad a autopistas radiales, cuyo dominio válido es {1, ..., 8, 24}. A diferencia del dataset original, esta versión tiene 306 celdas nulas (3.93 % del total) y valores de RAD que no corresponden a ninguna categoría, como 10.55 o 14.64.</w:t>
      </w:r>
    </w:p>
    <w:p>
      <w:pPr>
        <w:spacing w:after="120" w:line="276"/>
        <w:jc w:val="both"/>
      </w:pPr>
      <w:r>
        <w:t xml:space="preserve">Trabajamos en Python con pandas, NumPy, matplotlib, seaborn, SciPy, scikit-learn y CatBoost. El código completo está en el notebook TP-regresion-AA1.ipynb del repositorio del grupo.</w:t>
      </w:r>
    </w:p>
    <w:p>
      <w:pPr>
        <w:pStyle w:val="Heading1"/>
      </w:pPr>
      <w:r>
        <w:t xml:space="preserve">2. Metodología</w:t>
      </w:r>
    </w:p>
    <w:p>
      <w:pPr>
        <w:pStyle w:val="Heading2"/>
      </w:pPr>
      <w:r>
        <w:t xml:space="preserve">2.1. Limpieza de datos</w:t>
      </w:r>
    </w:p>
    <w:p>
      <w:pPr>
        <w:spacing w:after="120" w:line="276"/>
        <w:jc w:val="both"/>
      </w:pPr>
      <w:r>
        <w:t xml:space="preserve">Eliminamos las 21 filas sin MEDV, porque imputar el target equivale a inventar las respuestas que el modelo tiene que aprender. Quedaron 535. En RAD redondeamos los valores y marcamos como nulo todo lo que quedara fuera de {1, ..., 8, 24}, para imputar esos casos más adelante como cualquier otro faltante; así RAD quedó con 23 nulos. Por último descartamos las filas con más de la mitad de los valores faltantes (conservamos las que tienen al menos 7 de 14). Se eliminaron 4 filas y el conjunto quedó en 531 registros.</w:t>
      </w:r>
    </w:p>
    <w:p>
      <w:pPr>
        <w:pStyle w:val="Heading2"/>
      </w:pPr>
      <w:r>
        <w:t xml:space="preserve">2.2. Análisis exploratorio</w:t>
      </w:r>
    </w:p>
    <w:p>
      <w:pPr>
        <w:spacing w:after="120" w:line="276"/>
        <w:jc w:val="both"/>
      </w:pPr>
      <w:r>
        <w:t xml:space="preserve">Graficamos histogramas con media y mediana, conteos de las variables categóricas y diagramas de caja. Evaluamos la normalidad de las 12 variables continuas (las 11 de entrada y MEDV) con las pruebas de Shapiro-Wilk y D'Agostino-Pearson, con α = 0.05, y calculamos las matrices de correlación de Pearson y de Spearman sobre las 14 variables.</w:t>
      </w:r>
    </w:p>
    <w:p>
      <w:pPr>
        <w:pStyle w:val="Heading2"/>
      </w:pPr>
      <w:r>
        <w:t xml:space="preserve">2.3. Outliers</w:t>
      </w:r>
    </w:p>
    <w:p>
      <w:pPr>
        <w:spacing w:after="120" w:line="276"/>
        <w:jc w:val="both"/>
      </w:pPr>
      <w:r>
        <w:t xml:space="preserve">Detectamos outliers con el criterio del rango intercuartílico (IQR, factor 1.5), que no depende de la normalidad. En CRIM, ZN y B, las variables con más casos, no los eliminamos en bloque. Contrastamos cada outlier con los signos que predice la matriz de correlación: para CRIM, relación negativa con MEDV y RM y positiva con LSTAT; para ZN, positiva con MEDV y negativa con INDUS y LSTAT; para B, positiva con MEDV y negativa con LSTAT. Un outlier que contradice al menos la mitad de las relaciones evaluables en su fila lo consideramos incoherente, y las filas incoherentes en dos o más variables quedaron como candidatas a eliminar.</w:t>
      </w:r>
    </w:p>
    <w:p>
      <w:pPr>
        <w:pStyle w:val="Heading2"/>
      </w:pPr>
      <w:r>
        <w:t xml:space="preserve">2.4. División en train y test, y escalado</w:t>
      </w:r>
    </w:p>
    <w:p>
      <w:pPr>
        <w:spacing w:after="120" w:line="276"/>
        <w:jc w:val="both"/>
      </w:pPr>
      <w:r>
        <w:t xml:space="preserve">Separamos train y test (80/20, random_state = 42) antes de escalar o imputar, para que ninguna transformación usara información de test. De las filas candidatas eliminamos solo las que cayeron en train; test quedó intacto. Escalamos las 11 variables continuas con RobustScaler, que usa la mediana y el IQR y por eso no lo arrastran los outliers que decidimos conservar. El escalador se ajustó con train y se aplicó a test. CHAS y RAD no se escalaron.</w:t>
      </w:r>
    </w:p>
    <w:p>
      <w:pPr>
        <w:pStyle w:val="Heading2"/>
      </w:pPr>
      <w:r>
        <w:t xml:space="preserve">2.5. Codificación de las variables categóricas</w:t>
      </w:r>
    </w:p>
    <w:p>
      <w:pPr>
        <w:spacing w:after="120" w:line="276"/>
        <w:jc w:val="both"/>
      </w:pPr>
      <w:r>
        <w:t xml:space="preserve">CHAS ya viene codificada como 0 y 1, así que entra al modelo sin transformación. RAD entra como variable numérica con sus valores originales (1 a 8 y 24), sin codificación one-hot. [dato faltante: justificación de no aplicar one-hot a RAD]</w:t>
      </w:r>
    </w:p>
    <w:p>
      <w:pPr>
        <w:pStyle w:val="Heading2"/>
      </w:pPr>
      <w:r>
        <w:t xml:space="preserve">2.6. Imputación de valores faltantes</w:t>
      </w:r>
    </w:p>
    <w:p>
      <w:pPr>
        <w:spacing w:after="120" w:line="276"/>
        <w:jc w:val="both"/>
      </w:pPr>
      <w:r>
        <w:t xml:space="preserve">Imputamos las variables continuas con KNNImputer. Para elegir la cantidad de vecinos k tomamos las filas completas de train, ocultamos al azar el 5 % de sus celdas, las imputamos y medimos el error de reconstrucción con el RMSE normalizado por el desvío de cada columna (NRMSE). Repetimos el experimento 15 veces para cada k en {1, 2, 3, 4, 5, 7, 10, 15, 20, 25, 30} y elegimos el codo de la curva, definido como el k con mayor derivada segunda del NRMSE en valor absoluto. Las derivadas se calcularon con la separación real entre los valores de k, que no es uniforme.</w:t>
      </w:r>
    </w:p>
    <w:p>
      <w:pPr>
        <w:spacing w:after="120" w:line="276"/>
        <w:jc w:val="both"/>
      </w:pPr>
      <w:r>
        <w:t xml:space="preserve">RAD y CHAS son categóricas y promediar vecinos daría valores inválidos (por ejemplo, CHAS = 0.3), así que tratamos su imputación como un problema de clasificación. Entrenamos un CatBoostClassifier por columna (500 iteraciones, tasa de aprendizaje 0.05, profundidad 4) con las filas de train que tienen el dato, usando el resto de las columnas como entrada. El mismo modelo completó los faltantes de test sin reentrenarse.</w:t>
      </w:r>
    </w:p>
    <w:p>
      <w:pPr>
        <w:pStyle w:val="Heading2"/>
      </w:pPr>
      <w:r>
        <w:t xml:space="preserve">2.7. Modelos</w:t>
      </w:r>
    </w:p>
    <w:p>
      <w:pPr>
        <w:spacing w:after="120" w:line="276"/>
        <w:jc w:val="both"/>
      </w:pPr>
      <w:r>
        <w:t xml:space="preserve">Entrenamos LinearRegression de scikit-learn sobre los datos imputados. Además programamos el descenso del gradiente en tres variantes: batch (un gradiente por época sobre todo train), estocástico (una actualización por muestra) y mini-batch (una actualización por lote). Las tres minimizan el error cuadrático medio, agregan una columna de unos para el término independiente y actualizan los pesos con W = W - lr · gradiente. Con RAD llegando a 24 y CHAS en 0 o 1, las escalas mezcladas hacían diverger al algoritmo; por eso estandarizamos las variables solo para el descenso del gradiente y después devolvimos los pesos a la escala original para compararlos con LinearRegression.</w:t>
      </w:r>
    </w:p>
    <w:p>
      <w:pPr>
        <w:spacing w:after="120" w:line="276"/>
        <w:jc w:val="both"/>
      </w:pPr>
      <w:r>
        <w:t xml:space="preserve">En el batch usamos lr = 0.1, hasta 3000 épocas y corte por tolerancia de 10⁻⁹; en el estocástico, lr = 0.0005 y 100 épocas; en el mini-batch, lr = 0.01, 300 épocas y lotes de 64. También ejecutamos las funciones de descenso del gradiente vistas en clase, sin cambios en el cálculo y con sus parámetros originales (200 épocas, lr = 0.01 y lotes de 11), para obtener las curvas de error contra iteraciones.</w:t>
      </w:r>
    </w:p>
    <w:p>
      <w:pPr>
        <w:spacing w:after="120" w:line="276"/>
        <w:jc w:val="both"/>
      </w:pPr>
      <w:r>
        <w:t xml:space="preserve">Para la regularización armamos pipelines con StandardScaler y la versión con validación cruzada de cada modelo: RidgeCV con α entre 10⁻⁴ y 10⁶, LassoCV con α entre 10⁻⁴ y 10² y 5 particiones, y ElasticNetCV con α entre 10⁻³ y 10⁶, l1_ratio en {0.1, 0.5, 0.7, 0.9, 0.95, 0.99} y 10 particiones. Dejamos afuera l1_ratio = 0 porque equivale a Ridge y generaba problemas de convergencia.</w:t>
      </w:r>
    </w:p>
    <w:p>
      <w:pPr>
        <w:pStyle w:val="Heading2"/>
      </w:pPr>
      <w:r>
        <w:t xml:space="preserve">2.8. Métricas</w:t>
      </w:r>
    </w:p>
    <w:p>
      <w:pPr>
        <w:spacing w:after="120" w:line="276"/>
        <w:jc w:val="both"/>
      </w:pPr>
      <w:r>
        <w:t xml:space="preserve">Evaluamos cada modelo en train y en test con MAE, RMSE (ambos en miles de dólares) y R². Medir en los dos conjuntos permite diagnosticar el ajuste: si train es mucho mejor que test hay sobreajuste, y si ambos son malos hay subajuste. Descartamos el MSE porque es el RMSE al cuadrado, y el MAPE porque se infla en las viviendas de menor valor. Para la comparación final usamos el RMSE en test, que mide el error sobre datos que ningún modelo vio al entrenar y castiga más los errores grandes.</w:t>
      </w:r>
    </w:p>
    <w:p>
      <w:pPr>
        <w:pStyle w:val="Heading2"/>
      </w:pPr>
      <w:r>
        <w:t xml:space="preserve">2.9. Optimización de hiperparámetros</w:t>
      </w:r>
    </w:p>
    <w:p>
      <w:pPr>
        <w:spacing w:after="120" w:line="276"/>
        <w:jc w:val="both"/>
      </w:pPr>
      <w:r>
        <w:t xml:space="preserve">Variamos un hiperparámetro por vez. Para la tasa de aprendizaje del batch calculamos el límite teórico de convergencia, lr_max = 2 / λmax, donde λmax es el mayor autovalor de (2/n)·XᵀX, y probamos 0.001, 0.01, 0.1 y un valor a cada lado del límite (0.95·lr_max y 1.05·lr_max), con 300 épocas como máximo. Para el tamaño de lote usamos 1, 8, 32, 128 y 417 filas, con lr = 0.01 y 100 épocas. En Ridge y Lasso recorrimos α en escala logarítmica (de 10⁻³ a 10⁴ y de 10⁻³ a 10, respectivamente) y registramos los coeficientes y el RMSE en train y test.</w:t>
      </w:r>
    </w:p>
    <w:p>
      <w:pPr>
        <w:pStyle w:val="Heading1"/>
      </w:pPr>
      <w:r>
        <w:t xml:space="preserve">3. Resultados</w:t>
      </w:r>
    </w:p>
    <w:p>
      <w:pPr>
        <w:pStyle w:val="Heading2"/>
      </w:pPr>
      <w:r>
        <w:t xml:space="preserve">3.1. Análisis exploratorio</w:t>
      </w:r>
    </w:p>
    <w:p>
      <w:pPr>
        <w:spacing w:after="120" w:line="276"/>
        <w:jc w:val="both"/>
      </w:pPr>
      <w:r>
        <w:t xml:space="preserve">Casi todas las variables son asimétricas, con la media alejada de la mediana (Figura 1). CHAS está muy desbalanceada, con un 91 % de ceros, y RAD es bimodal, con la mayoría de los casos en 4, 5 y 24 (Figura 2). Los diagramas de caja muestran muchos valores extremos en CRIM, ZN y B (Figura 3). Las pruebas de normalidad rechazaron la hipótesis en las 12 variables continuas (p ≈ 0 en ambas), por lo que elegimos métodos que no dependen de ese supuesto: IQR para los outliers, Spearman para las correlaciones y RobustScaler para el escalado.</w:t>
      </w:r>
    </w:p>
    <w:p>
      <w:pPr>
        <w:spacing w:after="120" w:line="276"/>
        <w:jc w:val="both"/>
      </w:pPr>
      <w:r>
        <w:t xml:space="preserve">El criterio IQR marcó 86 outliers en B, 64 en CRIM, 54 en ZN, 41 en RM, 37 en MEDV, 11 en LSTAT y 10 en DIS. INDUS, NOX, AGE, TAX y PTRATIO no tuvieron ninguno.</w:t>
      </w:r>
    </w:p>
    <w:p>
      <w:pPr>
        <w:spacing w:after="120" w:line="276"/>
        <w:jc w:val="both"/>
      </w:pPr>
      <w:r>
        <w:t xml:space="preserve">En la matriz de Pearson (Figura 4), CRIM aparece casi desconectada del resto (CRIM-ZN = 0.01). En la de Spearman (Figura 5), que trabaja con rangos y no se ve afectada por outliers ni asimetrías, CRIM se relaciona con NOX (0.80) y con TAX (0.72); unos pocos barrios extremos distorsionan el coeficiente lineal. Por eso tomamos Spearman como referencia. RAD y TAX muestran multicolinealidad, con 0.90 en Pearson y 0.70 en Spearman. Las variables más asociadas con MEDV son LSTAT (-0.65 en Pearson y -0.80 en Spearman) y RM (0.59 y 0.58).</w:t>
      </w:r>
    </w:p>
    <w:p>
      <w:pPr>
        <w:pStyle w:val="Heading2"/>
      </w:pPr>
      <w:r>
        <w:t xml:space="preserve">3.2. Coherencia de los outliers</w:t>
      </w:r>
    </w:p>
    <w:p>
      <w:pPr>
        <w:spacing w:after="120" w:line="276"/>
        <w:jc w:val="both"/>
      </w:pPr>
      <w:r>
        <w:t xml:space="preserve">Resultaron incoherentes 10 de los 64 outliers de CRIM, 6 de los 54 de ZN y 21 de los 86 de B (Figuras 6, 7 y 8). El resto sigue las relaciones esperadas y corresponde a la cola de distribuciones asimétricas, así que lo conservamos. Ocho filas fueron incoherentes en al menos dos variables (índices 14, 23, 264, 298, 316, 458, 520 y 554). Siete cayeron en train y las eliminamos; la fila 520 quedó en test y se conservó. Train quedó con 417 filas y test con 107.</w:t>
      </w:r>
    </w:p>
    <w:p>
      <w:pPr>
        <w:pStyle w:val="Heading2"/>
      </w:pPr>
      <w:r>
        <w:t xml:space="preserve">3.3. Escalado e imputación</w:t>
      </w:r>
    </w:p>
    <w:p>
      <w:pPr>
        <w:spacing w:after="120" w:line="276"/>
        <w:jc w:val="both"/>
      </w:pPr>
      <w:r>
        <w:t xml:space="preserve">Después de RobustScaler las medianas quedan centradas y las escalas de las variables son comparables (Figura 9). El experimento de enmascaramiento usó las 405 filas completas de train. El NRMSE baja de 0.739 con k = 1 a 0.648 con k = 2, llega al mínimo en k = 5 (0.623) y vuelve a subir hasta 0.681 con k = 30 (Figura 10). La mayor derivada segunda en valor absoluto está en k = 2 (0.075, contra 0.010 en k = 3), así que elegimos k = 2 (Figura 11). La diferencia de NRMSE entre k = 2 y el mínimo en k = 5 es de 0.025, menor que el desvío entre repeticiones (0.063 para k = 2).</w:t>
      </w:r>
    </w:p>
    <w:p>
      <w:pPr>
        <w:spacing w:after="120" w:line="276"/>
        <w:jc w:val="both"/>
      </w:pPr>
      <w:r>
        <w:t xml:space="preserve">En train quedaban entre 0 y 8 valores por imputar en cada variable, y las distribuciones antes y después de imputar son prácticamente iguales (Figura 12).</w:t>
      </w:r>
    </w:p>
    <w:p>
      <w:pPr>
        <w:pStyle w:val="Heading2"/>
      </w:pPr>
      <w:r>
        <w:t xml:space="preserve">3.4. Regresión lineal y descenso del gradiente</w:t>
      </w:r>
    </w:p>
    <w:p>
      <w:pPr>
        <w:keepNext/>
        <w:spacing w:after="120" w:line="276"/>
        <w:jc w:val="both"/>
      </w:pPr>
      <w:r>
        <w:t xml:space="preserve">LinearRegression obtuvo un R² de 0.611 en train y 0.617 en test, con un intercepto de 22.20. En la escala de los datos imputados, los coeficientes de mayor magnitud son los de CHAS (4.93), LSTAT (-4.36), DIS (-3.52), AGE (-2.80), PTRATIO (-2.68), RM (2.66) y TAX (-2.28). La Tabla 1 resume las métricas junto con las de las tres variantes del descenso del gradiente.</w:t>
      </w:r>
    </w:p>
    <w:p>
      <w:pPr>
        <w:keepNext/>
        <w:spacing w:after="60" w:before="120"/>
        <w:jc w:val="center"/>
      </w:pPr>
      <w:r>
        <w:rPr>
          <w:i/>
          <w:iCs/>
          <w:sz w:val="20"/>
          <w:szCs w:val="20"/>
        </w:rPr>
        <w:t xml:space="preserve">Tabla 1. Métricas de LinearRegression y del descenso del gradiente (MAE y RMSE en miles de dólares).</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tblGrid>
      <w:tr>
        <w:trPr>
          <w:tblHeader/>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bCs/>
                <w:sz w:val="20"/>
                <w:szCs w:val="20"/>
              </w:rPr>
              <w:t xml:space="preserve">Modelo</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bCs/>
                <w:sz w:val="20"/>
                <w:szCs w:val="20"/>
              </w:rPr>
              <w:t xml:space="preserve">Conjunto</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bCs/>
                <w:sz w:val="20"/>
                <w:szCs w:val="20"/>
              </w:rPr>
              <w:t xml:space="preserve">MAE</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bCs/>
                <w:sz w:val="20"/>
                <w:szCs w:val="20"/>
              </w:rPr>
              <w:t xml:space="preserve">RMSE</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bCs/>
                <w:sz w:val="20"/>
                <w:szCs w:val="20"/>
              </w:rPr>
              <w:t xml:space="preserve">R²</w:t>
            </w:r>
          </w:p>
        </w:tc>
      </w:tr>
      <w:t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LinearRegression</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Train</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3.7005</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5.7154</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0.6113</w:t>
            </w:r>
          </w:p>
        </w:tc>
      </w:tr>
      <w:t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Test</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4.2010</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6.4267</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0.6174</w:t>
            </w:r>
          </w:p>
        </w:tc>
      </w:tr>
      <w:t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GD batch</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Train</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3.7005</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5.7154</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0.6113</w:t>
            </w:r>
          </w:p>
        </w:tc>
      </w:tr>
      <w:t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Test</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4.2010</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6.4267</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0.6174</w:t>
            </w:r>
          </w:p>
        </w:tc>
      </w:tr>
      <w:t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GD estocástico</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Train</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3.7040</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5.7172</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0.6111</w:t>
            </w:r>
          </w:p>
        </w:tc>
      </w:tr>
      <w:t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Test</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4.1891</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6.4359</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0.6163</w:t>
            </w:r>
          </w:p>
        </w:tc>
      </w:tr>
      <w:t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GD mini-batch</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Train</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3.7011</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5.7159</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0.6112</w:t>
            </w:r>
          </w:p>
        </w:tc>
      </w:tr>
      <w:t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Test</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4.2114</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6.4559</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0.6140</w:t>
            </w:r>
          </w:p>
        </w:tc>
      </w:tr>
    </w:tbl>
    <w:p>
      <w:pPr>
        <w:spacing w:after="120"/>
      </w:pPr>
    </w:p>
    <w:p>
      <w:pPr>
        <w:spacing w:after="120" w:line="276"/>
        <w:jc w:val="both"/>
      </w:pPr>
      <w:r>
        <w:t xml:space="preserve">Las tres variantes propias llegaron a la misma solución (Figura 13). El batch se detuvo por tolerancia a las 461 épocas con un MSE en train de 32.666; el estocástico terminó en 32.686 tras 100 épocas y el mini-batch en 32.672 tras 300. El batch coincide con LinearRegression hasta el cuarto decimal, y el estocástico y el mini-batch quedan a milésimas porque oscilan alrededor del mínimo. El resultado es el esperable, porque el costo de la regresión lineal es convexo y tiene un único mínimo.</w:t>
      </w:r>
    </w:p>
    <w:p>
      <w:pPr>
        <w:spacing w:after="120" w:line="276"/>
        <w:jc w:val="both"/>
      </w:pPr>
      <w:r>
        <w:t xml:space="preserve">Con las funciones vistas en clase y lr = 0.01, el batch baja de forma suave pero no llega al mínimo en 200 épocas (Figura 14), el estocástico oscila sin asentarse (Figura 15) y el mini-batch converge rápido, con menos oscilación que el estocástico (Figura 16). La diferencia con nuestras versiones está en la tasa: cuantas más actualizaciones hace una variante por época, más chica tiene que ser lr. Por eso usamos 0.1 en el batch y 0.0005 en el estocástico.</w:t>
      </w:r>
    </w:p>
    <w:p>
      <w:pPr>
        <w:pStyle w:val="Heading2"/>
      </w:pPr>
      <w:r>
        <w:t xml:space="preserve">3.5. Regularización</w:t>
      </w:r>
    </w:p>
    <w:p>
      <w:pPr>
        <w:keepNext/>
        <w:spacing w:after="120" w:line="276"/>
        <w:jc w:val="both"/>
      </w:pPr>
      <w:r>
        <w:t xml:space="preserve">La validación cruzada eligió α = 67.48 para Ridge, α = 0.111 para Lasso y α = 0.148 con l1_ratio = 0.5 para ElasticNet. Lasso anuló los coeficientes de CRIM, NOX y RAD, y ElasticNet los de NOX y RAD. RAD, además, está muy correlacionada con TAX (0.90 en Pearson). La Tabla 2 muestra las métricas.</w:t>
      </w:r>
    </w:p>
    <w:p>
      <w:pPr>
        <w:keepNext/>
        <w:spacing w:after="60" w:before="120"/>
        <w:jc w:val="center"/>
      </w:pPr>
      <w:r>
        <w:rPr>
          <w:i/>
          <w:iCs/>
          <w:sz w:val="20"/>
          <w:szCs w:val="20"/>
        </w:rPr>
        <w:t xml:space="preserve">Tabla 2. Métricas de los modelos regularizados (MAE y RMSE en miles de dólares).</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tblGrid>
      <w:tr>
        <w:trPr>
          <w:tblHeader/>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bCs/>
                <w:sz w:val="20"/>
                <w:szCs w:val="20"/>
              </w:rPr>
              <w:t xml:space="preserve">Modelo</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bCs/>
                <w:sz w:val="20"/>
                <w:szCs w:val="20"/>
              </w:rPr>
              <w:t xml:space="preserve">Conjunto</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bCs/>
                <w:sz w:val="20"/>
                <w:szCs w:val="20"/>
              </w:rPr>
              <w:t xml:space="preserve">MAE</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bCs/>
                <w:sz w:val="20"/>
                <w:szCs w:val="20"/>
              </w:rPr>
              <w:t xml:space="preserve">RMSE</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bCs/>
                <w:sz w:val="20"/>
                <w:szCs w:val="20"/>
              </w:rPr>
              <w:t xml:space="preserve">R²</w:t>
            </w:r>
          </w:p>
        </w:tc>
      </w:tr>
      <w:t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Ridge</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Train</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3.7545</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5.7791</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0.6026</w:t>
            </w:r>
          </w:p>
        </w:tc>
      </w:tr>
      <w:t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Test</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4.2078</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6.5089</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0.6076</w:t>
            </w:r>
          </w:p>
        </w:tc>
      </w:tr>
      <w:t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Lasso</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Train</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3.7235</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5.7393</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0.6080</w:t>
            </w:r>
          </w:p>
        </w:tc>
      </w:tr>
      <w:t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Test</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4.2354</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6.4793</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0.6112</w:t>
            </w:r>
          </w:p>
        </w:tc>
      </w:tr>
      <w:t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ElasticNet</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Train</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3.7439</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5.7602</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0.6052</w:t>
            </w:r>
          </w:p>
        </w:tc>
      </w:tr>
      <w:t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Test</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4.2167</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6.4774</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0.6114</w:t>
            </w:r>
          </w:p>
        </w:tc>
      </w:tr>
    </w:tbl>
    <w:p>
      <w:pPr>
        <w:spacing w:after="120"/>
      </w:pPr>
    </w:p>
    <w:p>
      <w:pPr>
        <w:spacing w:after="120" w:line="276"/>
        <w:jc w:val="both"/>
      </w:pPr>
      <w:r>
        <w:t xml:space="preserve">Ninguno de los tres mejora a LinearRegression en test. En todos los modelos train y test dan valores parecidos (R² de 0.61 y 0.62 en la regresión lineal), lo que descarta el sobreajuste. Sin varianza que corregir, la regularización cambia los coeficientes pero no mejora las métricas.</w:t>
      </w:r>
    </w:p>
    <w:p>
      <w:pPr>
        <w:pStyle w:val="Heading2"/>
      </w:pPr>
      <w:r>
        <w:t xml:space="preserve">3.6. Optimización de hiperparámetros</w:t>
      </w:r>
    </w:p>
    <w:p>
      <w:pPr>
        <w:spacing w:after="120" w:line="276"/>
        <w:jc w:val="both"/>
      </w:pPr>
      <w:r>
        <w:t xml:space="preserve">El límite teórico de la tasa para el batch resultó lr_max = 0.176, así que probamos 0.167 y 0.185 alrededor de él (Figura 17). Con 0.001 el MSE en train seguía en 195.56 a las 300 épocas y con 0.01 llegó a 32.93. Con 0.1 y con 0.167 alcanzó 32.67, y con 0.1 lo hizo en unas 30 épocas. Con 0.185, apenas por encima del límite, cada paso saltea el mínimo y el algoritmo diverge. La mejor tasa es la más grande que todavía converge, y ese valor se puede calcular a partir de los datos.</w:t>
      </w:r>
    </w:p>
    <w:p>
      <w:pPr>
        <w:keepNext/>
        <w:spacing w:after="120" w:line="276"/>
        <w:jc w:val="both"/>
      </w:pPr>
      <w:r>
        <w:t xml:space="preserve">La Tabla 3 muestra el efecto del tamaño de lote con lr = 0.01 y 100 épocas. Los lotes chicos hacen más actualizaciones por época y bajan más rápido (Figura 18). El lote de 417 (todo train) no llegó a converger y el de 1 quedó rebotando alrededor del mínimo. Los lotes intermedios lograron los menores errores tanto en train como en test.</w:t>
      </w:r>
    </w:p>
    <w:p>
      <w:pPr>
        <w:keepNext/>
        <w:spacing w:after="60" w:before="120"/>
        <w:jc w:val="center"/>
      </w:pPr>
      <w:r>
        <w:rPr>
          <w:i/>
          <w:iCs/>
          <w:sz w:val="20"/>
          <w:szCs w:val="20"/>
        </w:rPr>
        <w:t xml:space="preserve">Tabla 3. MSE final según el tamaño de lote (lr = 0.01, 100 épocas).</w:t>
      </w:r>
    </w:p>
    <w:tbl>
      <w:tblPr>
        <w:tblW w:type="dxa" w:w="810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200"/>
        <w:gridCol w:w="1200"/>
        <w:gridCol w:w="1200"/>
        <w:gridCol w:w="1200"/>
      </w:tblGrid>
      <w:tr>
        <w:trPr>
          <w:tblHeader/>
        </w:trPr>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bCs/>
                <w:sz w:val="20"/>
                <w:szCs w:val="20"/>
              </w:rPr>
              <w:t xml:space="preserve">Tamaño de lote</w:t>
            </w:r>
          </w:p>
        </w:tc>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bCs/>
                <w:sz w:val="20"/>
                <w:szCs w:val="20"/>
              </w:rPr>
              <w:t xml:space="preserve">1</w:t>
            </w:r>
          </w:p>
        </w:tc>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bCs/>
                <w:sz w:val="20"/>
                <w:szCs w:val="20"/>
              </w:rPr>
              <w:t xml:space="preserve">8</w:t>
            </w:r>
          </w:p>
        </w:tc>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bCs/>
                <w:sz w:val="20"/>
                <w:szCs w:val="20"/>
              </w:rPr>
              <w:t xml:space="preserve">32</w:t>
            </w:r>
          </w:p>
        </w:tc>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bCs/>
                <w:sz w:val="20"/>
                <w:szCs w:val="20"/>
              </w:rPr>
              <w:t xml:space="preserve">128</w:t>
            </w:r>
          </w:p>
        </w:tc>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bCs/>
                <w:sz w:val="20"/>
                <w:szCs w:val="20"/>
              </w:rPr>
              <w:t xml:space="preserve">417</w:t>
            </w:r>
          </w:p>
        </w:tc>
      </w:tr>
      <w:tr>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MSE train</w:t>
            </w:r>
          </w:p>
        </w:tc>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36.93</w:t>
            </w:r>
          </w:p>
        </w:tc>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32.98</w:t>
            </w:r>
          </w:p>
        </w:tc>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32.91</w:t>
            </w:r>
          </w:p>
        </w:tc>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32.82</w:t>
            </w:r>
          </w:p>
        </w:tc>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43.37</w:t>
            </w:r>
          </w:p>
        </w:tc>
      </w:tr>
      <w:tr>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MSE test</w:t>
            </w:r>
          </w:p>
        </w:tc>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43.45</w:t>
            </w:r>
          </w:p>
        </w:tc>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41.92</w:t>
            </w:r>
          </w:p>
        </w:tc>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42.18</w:t>
            </w:r>
          </w:p>
        </w:tc>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42.55</w:t>
            </w:r>
          </w:p>
        </w:tc>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56.44</w:t>
            </w:r>
          </w:p>
        </w:tc>
      </w:tr>
    </w:tbl>
    <w:p>
      <w:pPr>
        <w:spacing w:after="120"/>
      </w:pPr>
    </w:p>
    <w:p>
      <w:pPr>
        <w:spacing w:after="120" w:line="276"/>
        <w:jc w:val="both"/>
      </w:pPr>
      <w:r>
        <w:t xml:space="preserve">Con α chico, Ridge y Lasso equivalen a la regresión lineal (Figura 19). Al aumentar α, Ridge achica todos los coeficientes sin anular ninguno, mientras que Lasso los va llevando a cero hasta que el modelo solo predice el promedio. El RMSE de train crece siempre con α y el de test nunca baja, así que no aparece la curva en U propia de un modelo sobreajustado: sin varianza que reducir, regularizar solo agrega sesgo. El α elegido por validación cruzada cae al final de la zona plana y su RMSE en test se aleja del de la regresión lineal en menos de una décima.</w:t>
      </w:r>
    </w:p>
    <w:p>
      <w:pPr>
        <w:pStyle w:val="Heading2"/>
      </w:pPr>
      <w:r>
        <w:t xml:space="preserve">3.7. Comparación de modelos</w:t>
      </w:r>
    </w:p>
    <w:p>
      <w:pPr>
        <w:keepNext/>
        <w:spacing w:after="120" w:line="276"/>
        <w:jc w:val="both"/>
      </w:pPr>
      <w:r>
        <w:t xml:space="preserve">La Tabla 4 ordena los siete modelos por RMSE en test.</w:t>
      </w:r>
    </w:p>
    <w:p>
      <w:pPr>
        <w:keepNext/>
        <w:spacing w:after="60" w:before="120"/>
        <w:jc w:val="center"/>
      </w:pPr>
      <w:r>
        <w:rPr>
          <w:i/>
          <w:iCs/>
          <w:sz w:val="20"/>
          <w:szCs w:val="20"/>
        </w:rPr>
        <w:t xml:space="preserve">Tabla 4. Comparación de los modelos en test, ordenados por RMSE (MAE y RMSE en miles de dólares).</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tblGrid>
      <w:tr>
        <w:trPr>
          <w:tblHeader/>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bCs/>
                <w:sz w:val="20"/>
                <w:szCs w:val="20"/>
              </w:rPr>
              <w:t xml:space="preserve">Modelo</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bCs/>
                <w:sz w:val="20"/>
                <w:szCs w:val="20"/>
              </w:rPr>
              <w:t xml:space="preserve">MAE</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bCs/>
                <w:sz w:val="20"/>
                <w:szCs w:val="20"/>
              </w:rPr>
              <w:t xml:space="preserve">RMSE</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bCs/>
                <w:sz w:val="20"/>
                <w:szCs w:val="20"/>
              </w:rPr>
              <w:t xml:space="preserve">R²</w:t>
            </w:r>
          </w:p>
        </w:tc>
      </w:tr>
      <w:t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LinearRegression</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4.2010</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6.4267</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0.6174</w:t>
            </w:r>
          </w:p>
        </w:tc>
      </w:tr>
      <w:t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GD batch</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4.2010</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6.4267</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0.6174</w:t>
            </w:r>
          </w:p>
        </w:tc>
      </w:tr>
      <w:t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GD estocástico</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4.1891</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6.4359</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0.6163</w:t>
            </w:r>
          </w:p>
        </w:tc>
      </w:tr>
      <w:t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GD mini-batch</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4.2114</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6.4559</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0.6140</w:t>
            </w:r>
          </w:p>
        </w:tc>
      </w:tr>
      <w:t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ElasticNet</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4.2167</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6.4774</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0.6114</w:t>
            </w:r>
          </w:p>
        </w:tc>
      </w:tr>
      <w:t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Lasso</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4.2354</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6.4793</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0.6112</w:t>
            </w:r>
          </w:p>
        </w:tc>
      </w:tr>
      <w:t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left"/>
            </w:pPr>
            <w:r>
              <w:rPr>
                <w:b w:val="false"/>
                <w:bCs w:val="false"/>
                <w:sz w:val="20"/>
                <w:szCs w:val="20"/>
              </w:rPr>
              <w:t xml:space="preserve">Ridge</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4.2078</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6.5089</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jc w:val="center"/>
            </w:pPr>
            <w:r>
              <w:rPr>
                <w:b w:val="false"/>
                <w:bCs w:val="false"/>
                <w:sz w:val="20"/>
                <w:szCs w:val="20"/>
              </w:rPr>
              <w:t xml:space="preserve">0.6076</w:t>
            </w:r>
          </w:p>
        </w:tc>
      </w:tr>
    </w:tbl>
    <w:p>
      <w:pPr>
        <w:spacing w:after="120"/>
      </w:pPr>
    </w:p>
    <w:p>
      <w:pPr>
        <w:spacing w:after="120" w:line="276"/>
        <w:jc w:val="both"/>
      </w:pPr>
      <w:r>
        <w:t xml:space="preserve">LinearRegression y el descenso del gradiente batch empatan en el primer lugar con un RMSE de 6.4267. Son la misma solución, calculada de forma exacta en un caso y por aproximaciones sucesivas en el otro. Entre el mejor modelo y el peor (Ridge, 6.5089) hay 0.08 de RMSE, unos 80 dólares sobre un error típico de 6400. Con diferencias de ese tamaño, otra partición de los datos podría cambiar el orden.</w:t>
      </w:r>
    </w:p>
    <w:p>
      <w:pPr>
        <w:pStyle w:val="Heading1"/>
      </w:pPr>
      <w:r>
        <w:t xml:space="preserve">4. Conclusiones</w:t>
      </w:r>
    </w:p>
    <w:p>
      <w:pPr>
        <w:spacing w:after="120" w:line="276"/>
        <w:jc w:val="both"/>
      </w:pPr>
      <w:r>
        <w:t xml:space="preserve">Elegimos LinearRegression, que obtuvo el menor RMSE en test, es exacta y no tiene hiperparámetros que ajustar. El modelo no sobreajusta, ya que train y test dan métricas similares, y por eso la regularización no aportó mejoras. Sí hay algo de subajuste: deja sin explicar cerca del 40 % de la variabilidad de MEDV y en test tiene un MAE de 4.20 y un RMSE de 6.43 miles de dólares. El límite está en la forma lineal del modelo; para mejorar haría falta más flexibilidad, por ejemplo con términos polinómicos o interacciones entre variables.</w:t>
      </w:r>
    </w:p>
    <w:p>
      <w:pPr>
        <w:spacing w:after="120" w:line="276"/>
        <w:jc w:val="both"/>
      </w:pPr>
      <w:r>
        <w:t xml:space="preserve">Separar train y test antes de cualquier transformación evitó la fuga de datos, y el análisis de coherencia nos permitió eliminar solo 7 filas de train en lugar de todos los outliers que marcó el IQR. En el descenso del gradiente comprobamos que las tres variantes llegan a la misma solución siempre que cada una use una tasa acorde a la cantidad de actualizaciones que hace por época.</w:t>
      </w:r>
    </w:p>
    <w:sectPr>
      <w:footerReference w:type="default" r:id="rId7"/>
      <w:footerReference w:type="first" r:id="rId8"/>
      <w:pgSz w:w="11906" w:h="16838" w:orient="portrait"/>
      <w:pgMar w:top="567" w:right="567" w:bottom="567" w:left="1418" w:header="284" w:footer="28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Arial" w:cs="Arial" w:eastAsia="Arial" w:hAnsi="Arial"/>
      <w:b/>
      <w:bCs/>
      <w:color w:val="000000"/>
      <w:sz w:val="28"/>
      <w:szCs w:val="28"/>
    </w:rPr>
  </w:style>
  <w:style w:type="paragraph" w:styleId="Heading2">
    <w:name w:val="Heading 2"/>
    <w:basedOn w:val="Normal"/>
    <w:next w:val="Normal"/>
    <w:qFormat/>
    <w:pPr>
      <w:keepNext/>
      <w:spacing w:after="100" w:before="22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53c6f14d4394f7c2efe003cdd6add96c235f72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TP1 Aprendizaje Automático 1: Predicción de precios de casas</dc:title>
  <dc:creator>Civetta, Fucci, Frank, Winter</dc:creator>
  <cp:lastModifiedBy>Un-named</cp:lastModifiedBy>
  <cp:revision>1</cp:revision>
  <dcterms:created xsi:type="dcterms:W3CDTF">2026-09-26T19:04:34.077Z</dcterms:created>
  <dcterms:modified xsi:type="dcterms:W3CDTF">2026-09-26T19:04:34.077Z</dcterms:modified>
</cp:coreProperties>
</file>

<file path=docProps/custom.xml><?xml version="1.0" encoding="utf-8"?>
<Properties xmlns="http://schemas.openxmlformats.org/officeDocument/2006/custom-properties" xmlns:vt="http://schemas.openxmlformats.org/officeDocument/2006/docPropsVTypes"/>
</file>