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Arbeitsprotokoll 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29.05.2018</w:t>
        <w:tab/>
        <w:tab/>
        <w:t xml:space="preserve">Thema: Ökologie - Upcycling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5"/>
        <w:gridCol w:w="5832"/>
        <w:gridCol w:w="1843"/>
        <w:gridCol w:w="4252"/>
        <w:tblGridChange w:id="0">
          <w:tblGrid>
            <w:gridCol w:w="2885"/>
            <w:gridCol w:w="5832"/>
            <w:gridCol w:w="1843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Wer?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Was? (Tätigkeit)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gebrauchte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Zeit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Hausaufgaben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(mit Zeitangabe)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Elia Reutlinger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Etienne Roulet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Noah Walder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Bestandteile 1-3 vervollständigt und überprüft.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ca. 3 Lektionen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2"/>
        <w:tblGridChange w:id="0">
          <w:tblGrid>
            <w:gridCol w:w="1481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Änderungen in Bezug auf die Gesamtplanung / andere Probleme: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1"/>
        <w:tabs>
          <w:tab w:val="left" w:pos="5387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</w:t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sz w:val="32"/>
          <w:szCs w:val="32"/>
          <w:rtl w:val="0"/>
        </w:rPr>
        <w:tab/>
        <w:t xml:space="preserve">Unterschrift(en): </w:t>
      </w: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20"/>
        <w:tab w:val="left" w:pos="7116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Gewerblich-industrielle</w:t>
      <w:tab/>
      <w:tab/>
      <w:tab/>
      <w:t xml:space="preserve">Allgemeinbildung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820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Berufsfachschule Muttenz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Vertiefungsarbeit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