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Verpackungsmaterial</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Auftrags-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annahme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Versand-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abwicklung Auslieferung Retouren-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management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tbl>
      <w:tblPr>
        <w:tblStyle w:val="Table1"/>
        <w:tblW w:w="87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4660" w:hRule="atLeast"/>
        </w:trPr>
        <w:tc>
          <w:tcPr>
            <w:tcBorders>
              <w:top w:color="ebebeb" w:space="0" w:sz="30" w:val="single"/>
              <w:left w:color="ebebeb" w:space="0" w:sz="30" w:val="single"/>
              <w:bottom w:color="ebebeb" w:space="0" w:sz="30" w:val="single"/>
              <w:right w:color="ebebeb" w:space="0" w:sz="30" w:val="single"/>
            </w:tcBorders>
            <w:shd w:fill="ebebeb" w:val="clear"/>
            <w:tcMar>
              <w:top w:w="0.0" w:type="dxa"/>
              <w:left w:w="0.0" w:type="dxa"/>
              <w:bottom w:w="0.0" w:type="dxa"/>
              <w:right w:w="0.0" w:type="dxa"/>
            </w:tcMar>
            <w:vAlign w:val="top"/>
          </w:tcPr>
          <w:p w:rsidR="00000000" w:rsidDel="00000000" w:rsidP="00000000" w:rsidRDefault="00000000" w:rsidRPr="00000000" w14:paraId="0000000D">
            <w:pPr>
              <w:spacing w:after="160" w:line="342.8568" w:lineRule="auto"/>
              <w:rPr>
                <w:b w:val="1"/>
                <w:color w:val="333333"/>
                <w:sz w:val="21"/>
                <w:szCs w:val="21"/>
              </w:rPr>
            </w:pPr>
            <w:r w:rsidDel="00000000" w:rsidR="00000000" w:rsidRPr="00000000">
              <w:rPr>
                <w:b w:val="1"/>
                <w:color w:val="333333"/>
                <w:sz w:val="21"/>
                <w:szCs w:val="21"/>
                <w:rtl w:val="0"/>
              </w:rPr>
              <w:t xml:space="preserve">Verpackungsmaterial</w:t>
            </w:r>
          </w:p>
          <w:p w:rsidR="00000000" w:rsidDel="00000000" w:rsidP="00000000" w:rsidRDefault="00000000" w:rsidRPr="00000000" w14:paraId="0000000E">
            <w:pPr>
              <w:spacing w:after="160" w:line="342.8568" w:lineRule="auto"/>
              <w:rPr>
                <w:b w:val="1"/>
                <w:color w:val="333333"/>
                <w:sz w:val="21"/>
                <w:szCs w:val="21"/>
              </w:rPr>
            </w:pPr>
            <w:r w:rsidDel="00000000" w:rsidR="00000000" w:rsidRPr="00000000">
              <w:rPr>
                <w:rtl w:val="0"/>
              </w:rPr>
            </w:r>
          </w:p>
          <w:p w:rsidR="00000000" w:rsidDel="00000000" w:rsidP="00000000" w:rsidRDefault="00000000" w:rsidRPr="00000000" w14:paraId="0000000F">
            <w:pPr>
              <w:spacing w:after="160" w:line="342.8568" w:lineRule="auto"/>
              <w:rPr>
                <w:color w:val="333333"/>
                <w:sz w:val="21"/>
                <w:szCs w:val="21"/>
              </w:rPr>
            </w:pPr>
            <w:r w:rsidDel="00000000" w:rsidR="00000000" w:rsidRPr="00000000">
              <w:rPr>
                <w:color w:val="333333"/>
                <w:sz w:val="21"/>
                <w:szCs w:val="21"/>
                <w:rtl w:val="0"/>
              </w:rPr>
              <w:t xml:space="preserve">Egal was Sie verschicken wollen, für fast alles gibt es passendes Verpackungs- und Füllmaterial, z. B. Kuverts für kleine Produkte, Luftpolstertaschen für Zerbrechliches, Kartons für Flaschen und Bücher oder antistatische Verpackungen für Elektronikartikel. Die meisten Versanddienstleister bieten selbst entsprechende Materialien an. Diese sind optimal auf die Transportanforderungen abgestimmt und bieten bei richtigem Einsatz den größtmöglichen Schutz vor Beschädigungen.</w:t>
            </w:r>
          </w:p>
          <w:p w:rsidR="00000000" w:rsidDel="00000000" w:rsidP="00000000" w:rsidRDefault="00000000" w:rsidRPr="00000000" w14:paraId="00000010">
            <w:pPr>
              <w:spacing w:after="160" w:line="342.8568" w:lineRule="auto"/>
              <w:rPr>
                <w:color w:val="333333"/>
                <w:sz w:val="21"/>
                <w:szCs w:val="21"/>
              </w:rPr>
            </w:pPr>
            <w:r w:rsidDel="00000000" w:rsidR="00000000" w:rsidRPr="00000000">
              <w:rPr>
                <w:color w:val="333333"/>
                <w:sz w:val="21"/>
                <w:szCs w:val="21"/>
                <w:rtl w:val="0"/>
              </w:rPr>
              <w:t xml:space="preserve">Ebenso wie es verschiedene Verpackungsmaterialien gibt, existieren auch zahlreiche Varianten von Füll- und Polstermaterialien. Beispielsweise gibt es spezielles Verpackungspapier, Wellpappe, Verpackungschips, Kunststoffschutznetze oder auch Luftkissen.</w:t>
            </w:r>
          </w:p>
          <w:p w:rsidR="00000000" w:rsidDel="00000000" w:rsidP="00000000" w:rsidRDefault="00000000" w:rsidRPr="00000000" w14:paraId="00000011">
            <w:pPr>
              <w:spacing w:after="160" w:line="342.8568" w:lineRule="auto"/>
              <w:rPr>
                <w:color w:val="333333"/>
                <w:sz w:val="21"/>
                <w:szCs w:val="21"/>
              </w:rPr>
            </w:pPr>
            <w:r w:rsidDel="00000000" w:rsidR="00000000" w:rsidRPr="00000000">
              <w:rPr>
                <w:color w:val="333333"/>
                <w:sz w:val="21"/>
                <w:szCs w:val="21"/>
                <w:rtl w:val="0"/>
              </w:rPr>
              <w:t xml:space="preserve">Verpackungs- und Füllmaterial kann man von spezialisierten Dienstleistern oder teilweise auch von den Paketdienstleistern beziehen.</w:t>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spacing w:line="342.8568" w:lineRule="auto"/>
              <w:rPr>
                <w:color w:val="333333"/>
                <w:sz w:val="21"/>
                <w:szCs w:val="21"/>
              </w:rPr>
            </w:pPr>
            <w:r w:rsidDel="00000000" w:rsidR="00000000" w:rsidRPr="00000000">
              <w:rPr>
                <w:color w:val="333333"/>
                <w:sz w:val="21"/>
                <w:szCs w:val="21"/>
                <w:rtl w:val="0"/>
              </w:rPr>
              <w:t xml:space="preserve">Infobox 6-1: Verpackungsmaterial</w:t>
            </w:r>
          </w:p>
          <w:p w:rsidR="00000000" w:rsidDel="00000000" w:rsidP="00000000" w:rsidRDefault="00000000" w:rsidRPr="00000000" w14:paraId="00000013">
            <w:pPr>
              <w:spacing w:line="342.8568" w:lineRule="auto"/>
              <w:rPr>
                <w:color w:val="333333"/>
                <w:sz w:val="21"/>
                <w:szCs w:val="21"/>
              </w:rPr>
            </w:pPr>
            <w:r w:rsidDel="00000000" w:rsidR="00000000" w:rsidRPr="00000000">
              <w:rPr>
                <w:color w:val="333333"/>
                <w:sz w:val="21"/>
                <w:szCs w:val="21"/>
                <w:rtl w:val="0"/>
              </w:rPr>
              <w:t xml:space="preserve">Quelle: ibi research (E-Commerce-Leitfaden 2009)</w:t>
            </w:r>
          </w:p>
        </w:tc>
      </w:tr>
    </w:tbl>
    <w:p w:rsidR="00000000" w:rsidDel="00000000" w:rsidP="00000000" w:rsidRDefault="00000000" w:rsidRPr="00000000" w14:paraId="00000014">
      <w:pPr>
        <w:shd w:fill="ffffff" w:val="clear"/>
        <w:spacing w:after="160" w:lineRule="auto"/>
        <w:rPr>
          <w:color w:val="333333"/>
          <w:sz w:val="21"/>
          <w:szCs w:val="21"/>
        </w:rPr>
      </w:pPr>
      <w:r w:rsidDel="00000000" w:rsidR="00000000" w:rsidRPr="00000000">
        <w:rPr>
          <w:color w:val="333333"/>
          <w:sz w:val="21"/>
          <w:szCs w:val="21"/>
          <w:rtl w:val="0"/>
        </w:rPr>
        <w:t xml:space="preserve"> </w:t>
      </w:r>
    </w:p>
    <w:tbl>
      <w:tblPr>
        <w:tblStyle w:val="Table2"/>
        <w:tblW w:w="87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2220" w:hRule="atLeast"/>
        </w:trPr>
        <w:tc>
          <w:tcPr>
            <w:tcBorders>
              <w:top w:color="ebebeb" w:space="0" w:sz="30" w:val="single"/>
              <w:left w:color="ebebeb" w:space="0" w:sz="30" w:val="single"/>
              <w:bottom w:color="ebebeb" w:space="0" w:sz="30" w:val="single"/>
              <w:right w:color="ebebeb" w:space="0" w:sz="30" w:val="single"/>
            </w:tcBorders>
            <w:shd w:fill="ebebeb" w:val="clear"/>
            <w:tcMar>
              <w:top w:w="0.0" w:type="dxa"/>
              <w:left w:w="0.0" w:type="dxa"/>
              <w:bottom w:w="0.0" w:type="dxa"/>
              <w:right w:w="0.0" w:type="dxa"/>
            </w:tcMar>
            <w:vAlign w:val="top"/>
          </w:tcPr>
          <w:p w:rsidR="00000000" w:rsidDel="00000000" w:rsidP="00000000" w:rsidRDefault="00000000" w:rsidRPr="00000000" w14:paraId="00000015">
            <w:pPr>
              <w:spacing w:after="160" w:line="342.8568" w:lineRule="auto"/>
              <w:rPr>
                <w:b w:val="1"/>
                <w:color w:val="333333"/>
                <w:sz w:val="21"/>
                <w:szCs w:val="21"/>
              </w:rPr>
            </w:pPr>
            <w:r w:rsidDel="00000000" w:rsidR="00000000" w:rsidRPr="00000000">
              <w:rPr>
                <w:b w:val="1"/>
                <w:color w:val="333333"/>
                <w:sz w:val="21"/>
                <w:szCs w:val="21"/>
                <w:rtl w:val="0"/>
              </w:rPr>
              <w:t xml:space="preserve">Verpackungsverordnung</w:t>
            </w:r>
          </w:p>
          <w:p w:rsidR="00000000" w:rsidDel="00000000" w:rsidP="00000000" w:rsidRDefault="00000000" w:rsidRPr="00000000" w14:paraId="00000016">
            <w:pPr>
              <w:spacing w:line="342.8568" w:lineRule="auto"/>
              <w:rPr>
                <w:color w:val="333333"/>
                <w:sz w:val="21"/>
                <w:szCs w:val="21"/>
              </w:rPr>
            </w:pPr>
            <w:r w:rsidDel="00000000" w:rsidR="00000000" w:rsidRPr="00000000">
              <w:rPr>
                <w:color w:val="333333"/>
                <w:sz w:val="21"/>
                <w:szCs w:val="21"/>
                <w:rtl w:val="0"/>
              </w:rPr>
              <w:t xml:space="preserve">Verpackungen, die bei privaten Endverbrauchern anfallen, müssen grundsätzlich durch haushaltsnahe Entsorgungssysteme gesammelt und entsorgt werden. Die Verpackungsverordnung (VerpackV) verpflichtet Internet-Händler, sich an ein flächendeckendes haushaltsnahes Rücknahmesystem anzuschließen (§ 6 Abs. 1 Verpackungsverordnung), soweit sie nicht ausschließlich Verpackungen verwenden, deren Hersteller an ein Entsorgungssystem angeschlossen sind.</w:t>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spacing w:line="342.8568" w:lineRule="auto"/>
              <w:rPr>
                <w:color w:val="333333"/>
                <w:sz w:val="21"/>
                <w:szCs w:val="21"/>
              </w:rPr>
            </w:pPr>
            <w:r w:rsidDel="00000000" w:rsidR="00000000" w:rsidRPr="00000000">
              <w:rPr>
                <w:color w:val="333333"/>
                <w:sz w:val="21"/>
                <w:szCs w:val="21"/>
                <w:rtl w:val="0"/>
              </w:rPr>
              <w:t xml:space="preserve">Infobox 6-2: Verpackungsverordnung</w:t>
            </w:r>
          </w:p>
          <w:p w:rsidR="00000000" w:rsidDel="00000000" w:rsidP="00000000" w:rsidRDefault="00000000" w:rsidRPr="00000000" w14:paraId="00000018">
            <w:pPr>
              <w:spacing w:line="342.8568" w:lineRule="auto"/>
              <w:rPr>
                <w:color w:val="333333"/>
                <w:sz w:val="21"/>
                <w:szCs w:val="21"/>
              </w:rPr>
            </w:pPr>
            <w:r w:rsidDel="00000000" w:rsidR="00000000" w:rsidRPr="00000000">
              <w:rPr>
                <w:color w:val="333333"/>
                <w:sz w:val="21"/>
                <w:szCs w:val="21"/>
                <w:rtl w:val="0"/>
              </w:rPr>
              <w:t xml:space="preserve">Quelle: ibi research (E-Commerce-Leitfaden 2009)</w:t>
            </w:r>
          </w:p>
        </w:tc>
      </w:tr>
    </w:tbl>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A">
      <w:pPr>
        <w:shd w:fill="ffffff" w:val="clear"/>
        <w:spacing w:after="160" w:lineRule="auto"/>
        <w:rPr>
          <w:i w:val="1"/>
          <w:color w:val="333333"/>
          <w:sz w:val="21"/>
          <w:szCs w:val="21"/>
        </w:rPr>
      </w:pPr>
      <w:r w:rsidDel="00000000" w:rsidR="00000000" w:rsidRPr="00000000">
        <w:rPr>
          <w:i w:val="1"/>
          <w:color w:val="333333"/>
          <w:sz w:val="21"/>
          <w:szCs w:val="21"/>
          <w:rtl w:val="0"/>
        </w:rPr>
        <w:t xml:space="preserve">Versandvorbereitung – einfacher gehts online</w:t>
      </w:r>
    </w:p>
    <w:p w:rsidR="00000000" w:rsidDel="00000000" w:rsidP="00000000" w:rsidRDefault="00000000" w:rsidRPr="00000000" w14:paraId="0000001B">
      <w:pPr>
        <w:shd w:fill="ffffff" w:val="clear"/>
        <w:spacing w:after="160" w:lineRule="auto"/>
        <w:rPr>
          <w:color w:val="333333"/>
          <w:sz w:val="21"/>
          <w:szCs w:val="21"/>
        </w:rPr>
      </w:pPr>
      <w:r w:rsidDel="00000000" w:rsidR="00000000" w:rsidRPr="00000000">
        <w:rPr>
          <w:color w:val="333333"/>
          <w:sz w:val="21"/>
          <w:szCs w:val="21"/>
          <w:rtl w:val="0"/>
        </w:rPr>
        <w:t xml:space="preserve">Viele kleinere Händler bringen ihre Sendungen zur Annahmestelle ihres Dienstleisters und füllen dort den Paketschein per Hand aus. Auch schon bei geringen Stückzahlen können durch die Nutzung eines Online-Versandsystems jedoch Kosten und Zeit gespart werden. Mithilfe solcher Systeme der Versanddienstleister können die Sendungen professionell etikettiert und frankiert werden. In den Online-Systemen werden die Versanddaten eines jeden Auftrags erfasst und können direkt vom Versanddienstleister weiterverarbeitet werden. Bei den meisten Systemen lassen sich die Adressdaten der Kunden aus den gängigen Shop-Systemen, Office-Anwendungen oder auch von Marktplätzen wie eBay oder Amazon.de sowie aus Verkäufer-Tools wie Afterbuy oder ChannelAdvisor automatisch einlesen bzw. importieren. Mehr zu Verkäufer-Tools finden Sie in Infobox 6-3. Die Online-Systeme ermöglichen Ihnen, Versandetiketten für die einzelnen Aufträge direkt aus dem System heraus zu drucken bzw. erlauben auch die Erteilung eines Abholungsauftrags an den Dienstleister. Zudem können Sie durch verschiedene Tracking-Tools bzw. -Ansichten einen aktuellen Überblick über den Sendungsstatus erhalten. </w:t>
      </w:r>
    </w:p>
    <w:p w:rsidR="00000000" w:rsidDel="00000000" w:rsidP="00000000" w:rsidRDefault="00000000" w:rsidRPr="00000000" w14:paraId="0000001C">
      <w:pPr>
        <w:shd w:fill="ffffff" w:val="clear"/>
        <w:spacing w:after="160" w:lineRule="auto"/>
        <w:rPr>
          <w:color w:val="333333"/>
          <w:sz w:val="21"/>
          <w:szCs w:val="21"/>
        </w:rPr>
      </w:pPr>
      <w:r w:rsidDel="00000000" w:rsidR="00000000" w:rsidRPr="00000000">
        <w:rPr>
          <w:rtl w:val="0"/>
        </w:rPr>
      </w:r>
    </w:p>
    <w:tbl>
      <w:tblPr>
        <w:tblStyle w:val="Table3"/>
        <w:tblW w:w="87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4220" w:hRule="atLeast"/>
        </w:trPr>
        <w:tc>
          <w:tcPr>
            <w:tcBorders>
              <w:top w:color="ebebeb" w:space="0" w:sz="30" w:val="single"/>
              <w:left w:color="ebebeb" w:space="0" w:sz="30" w:val="single"/>
              <w:bottom w:color="ebebeb" w:space="0" w:sz="30" w:val="single"/>
              <w:right w:color="ebebeb" w:space="0" w:sz="30" w:val="single"/>
            </w:tcBorders>
            <w:shd w:fill="ebebeb" w:val="clear"/>
            <w:tcMar>
              <w:top w:w="0.0" w:type="dxa"/>
              <w:left w:w="0.0" w:type="dxa"/>
              <w:bottom w:w="0.0" w:type="dxa"/>
              <w:right w:w="0.0" w:type="dxa"/>
            </w:tcMar>
            <w:vAlign w:val="top"/>
          </w:tcPr>
          <w:p w:rsidR="00000000" w:rsidDel="00000000" w:rsidP="00000000" w:rsidRDefault="00000000" w:rsidRPr="00000000" w14:paraId="0000001D">
            <w:pPr>
              <w:spacing w:after="160" w:line="342.8568" w:lineRule="auto"/>
              <w:rPr>
                <w:b w:val="1"/>
                <w:color w:val="333333"/>
                <w:sz w:val="21"/>
                <w:szCs w:val="21"/>
              </w:rPr>
            </w:pPr>
            <w:r w:rsidDel="00000000" w:rsidR="00000000" w:rsidRPr="00000000">
              <w:rPr>
                <w:b w:val="1"/>
                <w:color w:val="333333"/>
                <w:sz w:val="21"/>
                <w:szCs w:val="21"/>
                <w:rtl w:val="0"/>
              </w:rPr>
              <w:t xml:space="preserve">Verkäufer-Tools</w:t>
            </w:r>
          </w:p>
          <w:p w:rsidR="00000000" w:rsidDel="00000000" w:rsidP="00000000" w:rsidRDefault="00000000" w:rsidRPr="00000000" w14:paraId="0000001E">
            <w:pPr>
              <w:spacing w:after="160" w:line="342.8568" w:lineRule="auto"/>
              <w:rPr>
                <w:color w:val="333333"/>
                <w:sz w:val="21"/>
                <w:szCs w:val="21"/>
              </w:rPr>
            </w:pPr>
            <w:r w:rsidDel="00000000" w:rsidR="00000000" w:rsidRPr="00000000">
              <w:rPr>
                <w:color w:val="333333"/>
                <w:sz w:val="21"/>
                <w:szCs w:val="21"/>
                <w:rtl w:val="0"/>
              </w:rPr>
              <w:t xml:space="preserve">Viele Händler greifen beim Verkauf im Internet auch auf Marktplätze wie eBay oder Amazon.de zurück. Für regelmäßige Verkäufer, so genannte Powerseller bzw. Power-Anbieter, gibt es Anwendungen und Programme, die die Verwaltung und die Abwicklung von Bestellungen erleichtern. Viele dieser Verkäufer- Tools bieten auch Schnittstellen zu gängigen Online-Shops.</w:t>
            </w:r>
          </w:p>
          <w:p w:rsidR="00000000" w:rsidDel="00000000" w:rsidP="00000000" w:rsidRDefault="00000000" w:rsidRPr="00000000" w14:paraId="0000001F">
            <w:pPr>
              <w:spacing w:after="160" w:line="342.8568" w:lineRule="auto"/>
              <w:rPr>
                <w:color w:val="333333"/>
                <w:sz w:val="21"/>
                <w:szCs w:val="21"/>
              </w:rPr>
            </w:pPr>
            <w:r w:rsidDel="00000000" w:rsidR="00000000" w:rsidRPr="00000000">
              <w:rPr>
                <w:color w:val="333333"/>
                <w:sz w:val="21"/>
                <w:szCs w:val="21"/>
                <w:rtl w:val="0"/>
              </w:rPr>
              <w:t xml:space="preserve">Beispiele für solche Anwendungen sind die Systeme Afterbuy oder ChannelAdvisor. Diese Online-Tools unterstützen die Händler beim Verwalten und Abwickeln von Bestellungen und Auktionen auf diversen Plattformen. Dabei können durch diese Online-Tools sowohl Produkte auf den Auktionsplattformen und den Marktplätzen verwaltet werden als auch die beim Verkauf anfallenden Tätigkeiten durchgeführt werden. Die Funktionen reichen dabei von der E-Mail-Benachrichtigung der Kunden beim Kauf, über die Zahlungsabwicklung und den Rechnungsdruck bis zur Übergabe der Daten an einen Versanddienstleister.</w:t>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spacing w:line="342.8568" w:lineRule="auto"/>
              <w:rPr>
                <w:color w:val="333333"/>
                <w:sz w:val="21"/>
                <w:szCs w:val="21"/>
              </w:rPr>
            </w:pPr>
            <w:r w:rsidDel="00000000" w:rsidR="00000000" w:rsidRPr="00000000">
              <w:rPr>
                <w:color w:val="333333"/>
                <w:sz w:val="21"/>
                <w:szCs w:val="21"/>
                <w:rtl w:val="0"/>
              </w:rPr>
              <w:t xml:space="preserve">Infobox 6-3: Verkäufer-Tools</w:t>
            </w:r>
          </w:p>
          <w:p w:rsidR="00000000" w:rsidDel="00000000" w:rsidP="00000000" w:rsidRDefault="00000000" w:rsidRPr="00000000" w14:paraId="00000021">
            <w:pPr>
              <w:spacing w:line="342.8568" w:lineRule="auto"/>
              <w:rPr>
                <w:color w:val="333333"/>
                <w:sz w:val="21"/>
                <w:szCs w:val="21"/>
              </w:rPr>
            </w:pPr>
            <w:r w:rsidDel="00000000" w:rsidR="00000000" w:rsidRPr="00000000">
              <w:rPr>
                <w:color w:val="333333"/>
                <w:sz w:val="21"/>
                <w:szCs w:val="21"/>
                <w:rtl w:val="0"/>
              </w:rPr>
              <w:t xml:space="preserve">Quelle: ibi research (E-Commerce-Leitfaden 2009)</w:t>
            </w:r>
          </w:p>
        </w:tc>
      </w:tr>
    </w:tbl>
    <w:p w:rsidR="00000000" w:rsidDel="00000000" w:rsidP="00000000" w:rsidRDefault="00000000" w:rsidRPr="00000000" w14:paraId="0000002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3">
      <w:pPr>
        <w:shd w:fill="ffffff" w:val="clear"/>
        <w:spacing w:after="160" w:lineRule="auto"/>
        <w:rPr>
          <w:color w:val="333333"/>
          <w:sz w:val="21"/>
          <w:szCs w:val="21"/>
        </w:rPr>
      </w:pPr>
      <w:r w:rsidDel="00000000" w:rsidR="00000000" w:rsidRPr="00000000">
        <w:rPr>
          <w:color w:val="333333"/>
          <w:sz w:val="21"/>
          <w:szCs w:val="21"/>
          <w:rtl w:val="0"/>
        </w:rPr>
        <w:t xml:space="preserve">Das einfache Drucken der notwendigen Etiketten und Dokumente über ein Versand-Tool ermöglicht es Ihnen, die Pakete vollständig versandfertig zu machen. Zudem bieten manche Dienstleister bei der Nutzung der Online-Systeme günstigere Konditionen und verschiedenste Zusatzdienstleistungen. Beispielsweise können Sie bei diversen Online-Lösungen direkt im Portal den Abholrhythmus individuell festlegen. Die meisten Dienstleister ermöglichen eine Abholung von Montag bis Samstag und bieten ausgewählte Abholzeitfenster an. Für spezielle Sendungen können Sonderleistungen, wie z. B. Versand per Nachnahme oder Versand ins Ausland auch über das Portal beauftragt werden. </w:t>
      </w:r>
    </w:p>
    <w:p w:rsidR="00000000" w:rsidDel="00000000" w:rsidP="00000000" w:rsidRDefault="00000000" w:rsidRPr="00000000" w14:paraId="00000024">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5">
      <w:pPr>
        <w:shd w:fill="ffffff" w:val="clear"/>
        <w:spacing w:after="160" w:lineRule="auto"/>
        <w:rPr>
          <w:color w:val="333333"/>
          <w:sz w:val="21"/>
          <w:szCs w:val="21"/>
        </w:rPr>
      </w:pPr>
      <w:r w:rsidDel="00000000" w:rsidR="00000000" w:rsidRPr="00000000">
        <w:rPr>
          <w:color w:val="333333"/>
          <w:sz w:val="21"/>
          <w:szCs w:val="21"/>
          <w:rtl w:val="0"/>
        </w:rPr>
        <w:t xml:space="preserve">Fast alle Paketdienstleister haben für jeden Online-Händler, egal wie viele Pakete er im Jahr verschickt, eine passende Lösung. Sei es die Nutzung von Filialen bzw. PaketShops, ein entsprechendes Online-Versandportal oder eine komplette Verheiratung der IT-Systeme des Händlers mit den Systemen des Versanddienstleisters, für alle Versandmengen gibt es die entsprechende Lösung. Auf jeden Fall ist es lohnenswert, sich über solche Angebote detailliert zu informieren. </w:t>
      </w:r>
    </w:p>
    <w:p w:rsidR="00000000" w:rsidDel="00000000" w:rsidP="00000000" w:rsidRDefault="00000000" w:rsidRPr="00000000" w14:paraId="00000026">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7">
      <w:pPr>
        <w:shd w:fill="ffffff" w:val="clear"/>
        <w:spacing w:after="160" w:lineRule="auto"/>
        <w:rPr>
          <w:i w:val="1"/>
          <w:color w:val="333333"/>
          <w:sz w:val="21"/>
          <w:szCs w:val="21"/>
        </w:rPr>
      </w:pPr>
      <w:r w:rsidDel="00000000" w:rsidR="00000000" w:rsidRPr="00000000">
        <w:rPr>
          <w:i w:val="1"/>
          <w:color w:val="333333"/>
          <w:sz w:val="21"/>
          <w:szCs w:val="21"/>
          <w:rtl w:val="0"/>
        </w:rPr>
        <w:t xml:space="preserve">Versand ins Ausland – Bon Voyage </w:t>
      </w:r>
    </w:p>
    <w:p w:rsidR="00000000" w:rsidDel="00000000" w:rsidP="00000000" w:rsidRDefault="00000000" w:rsidRPr="00000000" w14:paraId="00000028">
      <w:pPr>
        <w:shd w:fill="ffffff" w:val="clear"/>
        <w:spacing w:after="160" w:lineRule="auto"/>
        <w:rPr>
          <w:color w:val="333333"/>
          <w:sz w:val="21"/>
          <w:szCs w:val="21"/>
        </w:rPr>
      </w:pPr>
      <w:r w:rsidDel="00000000" w:rsidR="00000000" w:rsidRPr="00000000">
        <w:rPr>
          <w:color w:val="333333"/>
          <w:sz w:val="21"/>
          <w:szCs w:val="21"/>
          <w:rtl w:val="0"/>
        </w:rPr>
        <w:t xml:space="preserve">Der einheitliche europäische Wirtschaftsraum hat in den letzten Jahren zu einem verstärkten Verkauf ins europäische Ausland geführt. Durch den Wegfall von Zoll- und Ausfuhrbeschränkungen erschließen sich Händlern neue Märkte in der Regel ohne große bürokratische Hürden. Bis auf wenige Ausnahmen, wie z. B. Alkohol oder Zigaretten, ist es durch die international agierenden Paketdienste möglich, Waren kostengünstig europaweit zu versenden. Wenn die Sendungen an Kunden außerhalb Europas gehen sollen oder es sich um Waren handelt, die bestimmten Vorschriften unterliegen, müssen jedoch entsprechende Dokumente (Begleitpapiere) für die Sendungen erstellt werden.</w:t>
      </w:r>
    </w:p>
    <w:p w:rsidR="00000000" w:rsidDel="00000000" w:rsidP="00000000" w:rsidRDefault="00000000" w:rsidRPr="00000000" w14:paraId="00000029">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rPr>
          <w:color w:val="333333"/>
          <w:sz w:val="21"/>
          <w:szCs w:val="21"/>
        </w:rPr>
      </w:pPr>
      <w:r w:rsidDel="00000000" w:rsidR="00000000" w:rsidRPr="00000000">
        <w:rPr>
          <w:color w:val="333333"/>
          <w:sz w:val="21"/>
          <w:szCs w:val="21"/>
          <w:rtl w:val="0"/>
        </w:rPr>
        <w:t xml:space="preserve">Welche Waren ohne große Beschränkungen europa- bzw. weltweit versendet werden dürfen und mit welchen zusätzlichen Kosten und Auflagen möglicherweise zu rechnen ist, sollte daher vorab geklärt werden, um keine unliebsamen Überraschungen zu erleben. Auch ist es ratsam, bei regelmäßigen Bestellungen aus dem außereuropäischen Ausland die notwendigen Angaben für die Begleitpapiere in Ihrer Produktverwaltung (Produktstammdaten) zu hinterlegen, so dass Sie diese nicht immer wieder aufs Neue beim Ausfüllen der Zollpapiere recherchieren müssen. Unter </w:t>
      </w:r>
      <w:hyperlink r:id="rId6">
        <w:r w:rsidDel="00000000" w:rsidR="00000000" w:rsidRPr="00000000">
          <w:rPr>
            <w:color w:val="428bca"/>
            <w:sz w:val="21"/>
            <w:szCs w:val="21"/>
            <w:u w:val="single"/>
            <w:rtl w:val="0"/>
          </w:rPr>
          <w:t xml:space="preserve">www.zoll.de</w:t>
        </w:r>
      </w:hyperlink>
      <w:r w:rsidDel="00000000" w:rsidR="00000000" w:rsidRPr="00000000">
        <w:rPr>
          <w:color w:val="333333"/>
          <w:sz w:val="21"/>
          <w:szCs w:val="21"/>
          <w:rtl w:val="0"/>
        </w:rPr>
        <w:t xml:space="preserve"> finden Sie die relevanten Informationen bzw. in der Regel auch auf Anfrage bei Ihrem Logistikdienstleister.</w:t>
      </w:r>
    </w:p>
    <w:p w:rsidR="00000000" w:rsidDel="00000000" w:rsidP="00000000" w:rsidRDefault="00000000" w:rsidRPr="00000000" w14:paraId="0000002B">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333333"/>
          <w:sz w:val="21"/>
          <w:szCs w:val="21"/>
        </w:rPr>
      </w:pPr>
      <w:r w:rsidDel="00000000" w:rsidR="00000000" w:rsidRPr="00000000">
        <w:rPr>
          <w:color w:val="333333"/>
          <w:sz w:val="21"/>
          <w:szCs w:val="21"/>
          <w:rtl w:val="0"/>
        </w:rPr>
        <w:t xml:space="preserve">Beim Versand ins Ausland sollten Sie sich zudem über das Qualitätsniveau der ausländischen Paketdienstleister informieren, denn im Ausland ist der Standard häufig nicht so hoch wie in Deutschland. Längere Laufzeiten und ein höherer Anteil beschädigter oder verlorener Sendungen sind nicht unüblich. Viele Experten raten deshalb dazu, Auslandssendungen generell zu versichern. Zudem sind Sie als Händler beim Versand ins Ausland verpflichtet, genauso wie beim innerdeutschen Versand, die Versandkosten explizit auszuweisen. Deshalb sollte eine Versandkostentabelle vorhanden sein, in der Besteller aus dem Ausland die anfallenden Versandkosten ersehen bzw. abschätzen können. </w:t>
      </w:r>
    </w:p>
    <w:p w:rsidR="00000000" w:rsidDel="00000000" w:rsidP="00000000" w:rsidRDefault="00000000" w:rsidRPr="00000000" w14:paraId="0000002D">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160" w:before="300" w:line="264" w:lineRule="auto"/>
        <w:rPr>
          <w:color w:val="428bca"/>
          <w:sz w:val="16"/>
          <w:szCs w:val="16"/>
          <w:u w:val="single"/>
        </w:rPr>
      </w:pPr>
      <w:bookmarkStart w:colFirst="0" w:colLast="0" w:name="_jwm9nx9sbmxg" w:id="0"/>
      <w:bookmarkEnd w:id="0"/>
      <w:r w:rsidDel="00000000" w:rsidR="00000000" w:rsidRPr="00000000">
        <w:rPr>
          <w:color w:val="006fb9"/>
          <w:rtl w:val="0"/>
        </w:rPr>
        <w:t xml:space="preserve">6.2.3 Auslieferung - vom Hochregal ins Wohnzimmer</w:t>
      </w:r>
      <w:r w:rsidDel="00000000" w:rsidR="00000000" w:rsidRPr="00000000">
        <w:rPr>
          <w:color w:val="006fb9"/>
          <w:sz w:val="16"/>
          <w:szCs w:val="16"/>
          <w:rtl w:val="0"/>
        </w:rPr>
        <w:t xml:space="preserve"> </w:t>
      </w:r>
      <w:r w:rsidDel="00000000" w:rsidR="00000000" w:rsidRPr="00000000">
        <w:fldChar w:fldCharType="begin"/>
        <w:instrText xml:space="preserve"> HYPERLINK "https://www.ecommerce-leitfaden.de/ecl-v2/143-kapitel-6-versand-vom-shop-zum-kunden#anchor_6" </w:instrText>
        <w:fldChar w:fldCharType="separate"/>
      </w:r>
      <w:r w:rsidDel="00000000" w:rsidR="00000000" w:rsidRPr="00000000">
        <w:rPr>
          <w:color w:val="428bca"/>
          <w:sz w:val="16"/>
          <w:szCs w:val="16"/>
          <w:u w:val="single"/>
          <w:rtl w:val="0"/>
        </w:rPr>
        <w:t xml:space="preserve">(nach oben)</w:t>
      </w:r>
    </w:p>
    <w:p w:rsidR="00000000" w:rsidDel="00000000" w:rsidP="00000000" w:rsidRDefault="00000000" w:rsidRPr="00000000" w14:paraId="0000002F">
      <w:pPr>
        <w:shd w:fill="ffffff" w:val="clear"/>
        <w:spacing w:after="160" w:lineRule="auto"/>
        <w:rPr>
          <w:color w:val="333333"/>
          <w:sz w:val="21"/>
          <w:szCs w:val="21"/>
        </w:rPr>
      </w:pPr>
      <w:r w:rsidDel="00000000" w:rsidR="00000000" w:rsidRPr="00000000">
        <w:fldChar w:fldCharType="end"/>
      </w:r>
      <w:r w:rsidDel="00000000" w:rsidR="00000000" w:rsidRPr="00000000">
        <w:rPr>
          <w:color w:val="333333"/>
          <w:sz w:val="21"/>
          <w:szCs w:val="21"/>
          <w:rtl w:val="0"/>
        </w:rPr>
        <w:t xml:space="preserve">Wenn Sie Ihre Sendungen fertig verpackt haben, gilt es im nächsten Schritt, diese dem Versanddienstleister zu übergeben. Doch Versanddienstleister ist nicht gleich Versanddienstleister. So existieren neben den Paketdiensten z. B. auch Kurier- und Expressdienste. Zwar werden die meisten Bestellungen im E-Commerce wohl über Paketdienstleister abgewickelt, aber für manche Lieferungen eignet sich womöglich auch der Einsatz von Kurieren oder Boten. Im Vergleich zu einem Paketdienst, der mit hoch standardisierten Prozessen arbeitet, befördern Kuriere in der Regel die Sendungen persönlich und direkt vom Absender zum Empfänger. Häufig ist diese Dienstleistung jedoch auch deutlich teurer als der Versand durch einen Paketdienstleister.</w:t>
      </w:r>
    </w:p>
    <w:p w:rsidR="00000000" w:rsidDel="00000000" w:rsidP="00000000" w:rsidRDefault="00000000" w:rsidRPr="00000000" w14:paraId="00000030">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1">
      <w:pPr>
        <w:shd w:fill="ffffff" w:val="clear"/>
        <w:spacing w:after="160" w:lineRule="auto"/>
        <w:rPr>
          <w:color w:val="333333"/>
          <w:sz w:val="21"/>
          <w:szCs w:val="21"/>
        </w:rPr>
      </w:pPr>
      <w:r w:rsidDel="00000000" w:rsidR="00000000" w:rsidRPr="00000000">
        <w:rPr>
          <w:color w:val="333333"/>
          <w:sz w:val="21"/>
          <w:szCs w:val="21"/>
          <w:rtl w:val="0"/>
        </w:rPr>
        <w:t xml:space="preserve">Für welchen Dienstleister Sie sich letztendlich entscheiden, ist gut zu überlegen. Dies zeigt sich auch darin, dass mehr als die Hälfte aller Online- Händler mehrere Paketdienstleister nutzen, um ihre Lieferungen zum Kunden zu bringen. Mit der wichtigste Grund hierfür ist aus Sicht der meisten Händler die Optimierung der Versandkosten. Dies hängt im Wesentlichen mit den unterschiedlichen Preisen der Dienstleister für die verschiedenen Paketgrößen, Gewichtsklassen und Bestimmungsländer zusammen sowie damit, dass nicht alle Paketdienstleister in alle Länder liefern (vgl. Abbildung 6-2). Daneben können z. B. auch angebotene Zusatzdienstleistungen, wie beispielsweise der Haftungsbetrag pro Paket oder die notwendige personalisierte Zustellung beim Kunden eine wichtige Rolle spielen (vgl. auch Infobox 6-6: „Zusatzdienstleistungen von Paketdienstleistern“). Die am häufigsten angebotenen Zusatzdienstleistungen der Händler sind die Zustellung gegen Barzahlung bzw. Nachnahme und die Paketverfolgung (vgl. Abbildung 6-3). Zudem bieten immer mehr Händler ihren Kunden an, die Bestellung an eine Alternativadresse zu versenden oder sie auch zusätzlich zu versichern. </w:t>
      </w:r>
    </w:p>
    <w:p w:rsidR="00000000" w:rsidDel="00000000" w:rsidP="00000000" w:rsidRDefault="00000000" w:rsidRPr="00000000" w14:paraId="00000032">
      <w:pPr>
        <w:shd w:fill="ffffff" w:val="clear"/>
        <w:spacing w:after="160" w:lineRule="auto"/>
        <w:rPr>
          <w:color w:val="333333"/>
          <w:sz w:val="21"/>
          <w:szCs w:val="21"/>
        </w:rPr>
      </w:pPr>
      <w:r w:rsidDel="00000000" w:rsidR="00000000" w:rsidRPr="00000000">
        <w:rPr>
          <w:rtl w:val="0"/>
        </w:rPr>
      </w:r>
    </w:p>
    <w:tbl>
      <w:tblPr>
        <w:tblStyle w:val="Table4"/>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2.9471890971045"/>
        <w:gridCol w:w="4736.0528109028955"/>
        <w:tblGridChange w:id="0">
          <w:tblGrid>
            <w:gridCol w:w="4292.9471890971045"/>
            <w:gridCol w:w="4736.0528109028955"/>
          </w:tblGrid>
        </w:tblGridChange>
      </w:tblGrid>
      <w:tr>
        <w:trPr>
          <w:trHeight w:val="47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rPr>
                <w:color w:val="333333"/>
                <w:sz w:val="21"/>
                <w:szCs w:val="21"/>
              </w:rPr>
            </w:pPr>
            <w:r w:rsidDel="00000000" w:rsidR="00000000" w:rsidRPr="00000000">
              <w:rPr>
                <w:rtl w:val="0"/>
              </w:rPr>
            </w:r>
          </w:p>
          <w:tbl>
            <w:tblPr>
              <w:tblStyle w:val="Table5"/>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tblGridChange w:id="0">
                <w:tblGrid>
                  <w:gridCol w:w="3600"/>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ebebeb" w:val="clear"/>
                  <w:tcMar>
                    <w:top w:w="0.0" w:type="dxa"/>
                    <w:left w:w="0.0" w:type="dxa"/>
                    <w:bottom w:w="0.0" w:type="dxa"/>
                    <w:right w:w="0.0" w:type="dxa"/>
                  </w:tcMar>
                  <w:vAlign w:val="top"/>
                </w:tcPr>
                <w:p w:rsidR="00000000" w:rsidDel="00000000" w:rsidP="00000000" w:rsidRDefault="00000000" w:rsidRPr="00000000" w14:paraId="00000034">
                  <w:pPr>
                    <w:spacing w:line="342.8568" w:lineRule="auto"/>
                    <w:rPr>
                      <w:color w:val="333333"/>
                      <w:sz w:val="21"/>
                      <w:szCs w:val="21"/>
                    </w:rPr>
                  </w:pPr>
                  <w:r w:rsidDel="00000000" w:rsidR="00000000" w:rsidRPr="00000000">
                    <w:rPr>
                      <w:b w:val="1"/>
                      <w:color w:val="333333"/>
                      <w:sz w:val="21"/>
                      <w:szCs w:val="21"/>
                      <w:rtl w:val="0"/>
                    </w:rPr>
                    <w:t xml:space="preserve">"Warum setzen Sie mehrere Versanddienstleister ein?"</w:t>
                  </w:r>
                  <w:r w:rsidDel="00000000" w:rsidR="00000000" w:rsidRPr="00000000">
                    <w:rPr>
                      <w:rtl w:val="0"/>
                    </w:rPr>
                  </w:r>
                </w:p>
              </w:tc>
            </w:tr>
            <w:tr>
              <w:trPr>
                <w:trHeight w:val="214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spacing w:line="342.8568" w:lineRule="auto"/>
                    <w:rPr>
                      <w:color w:val="333333"/>
                      <w:sz w:val="21"/>
                      <w:szCs w:val="21"/>
                    </w:rPr>
                  </w:pPr>
                  <w:r w:rsidDel="00000000" w:rsidR="00000000" w:rsidRPr="00000000">
                    <w:rPr>
                      <w:color w:val="333333"/>
                      <w:sz w:val="21"/>
                      <w:szCs w:val="21"/>
                    </w:rPr>
                    <w:drawing>
                      <wp:inline distB="114300" distT="114300" distL="114300" distR="114300">
                        <wp:extent cx="3048000" cy="1816100"/>
                        <wp:effectExtent b="0" l="0" r="0" t="0"/>
                        <wp:docPr descr="abb6-2" id="2" name="image4.gif"/>
                        <a:graphic>
                          <a:graphicData uri="http://schemas.openxmlformats.org/drawingml/2006/picture">
                            <pic:pic>
                              <pic:nvPicPr>
                                <pic:cNvPr descr="abb6-2" id="0" name="image4.gif"/>
                                <pic:cNvPicPr preferRelativeResize="0"/>
                              </pic:nvPicPr>
                              <pic:blipFill>
                                <a:blip r:embed="rId7"/>
                                <a:srcRect b="0" l="0" r="0" t="0"/>
                                <a:stretch>
                                  <a:fillRect/>
                                </a:stretch>
                              </pic:blipFill>
                              <pic:spPr>
                                <a:xfrm>
                                  <a:off x="0" y="0"/>
                                  <a:ext cx="3048000" cy="1816100"/>
                                </a:xfrm>
                                <a:prstGeom prst="rect"/>
                                <a:ln/>
                              </pic:spPr>
                            </pic:pic>
                          </a:graphicData>
                        </a:graphic>
                      </wp:inline>
                    </w:drawing>
                  </w:r>
                  <w:r w:rsidDel="00000000" w:rsidR="00000000" w:rsidRPr="00000000">
                    <w:rPr>
                      <w:rtl w:val="0"/>
                    </w:rPr>
                  </w:r>
                </w:p>
              </w:tc>
            </w:tr>
            <w:tr>
              <w:trPr>
                <w:trHeight w:val="1940" w:hRule="atLeast"/>
              </w:trPr>
              <w:tc>
                <w:tcPr>
                  <w:tcBorders>
                    <w:top w:color="000000" w:space="0" w:sz="0" w:val="nil"/>
                    <w:left w:color="000000" w:space="0" w:sz="0" w:val="nil"/>
                    <w:bottom w:color="000000" w:space="0" w:sz="0" w:val="nil"/>
                    <w:right w:color="000000" w:space="0" w:sz="0" w:val="nil"/>
                  </w:tcBorders>
                  <w:shd w:fill="ebebeb" w:val="clear"/>
                  <w:tcMar>
                    <w:top w:w="0.0" w:type="dxa"/>
                    <w:left w:w="0.0" w:type="dxa"/>
                    <w:bottom w:w="0.0" w:type="dxa"/>
                    <w:right w:w="0.0" w:type="dxa"/>
                  </w:tcMar>
                  <w:vAlign w:val="top"/>
                </w:tcPr>
                <w:p w:rsidR="00000000" w:rsidDel="00000000" w:rsidP="00000000" w:rsidRDefault="00000000" w:rsidRPr="00000000" w14:paraId="00000036">
                  <w:pPr>
                    <w:spacing w:after="160" w:line="342.8568" w:lineRule="auto"/>
                    <w:rPr>
                      <w:color w:val="333333"/>
                      <w:sz w:val="21"/>
                      <w:szCs w:val="21"/>
                    </w:rPr>
                  </w:pPr>
                  <w:r w:rsidDel="00000000" w:rsidR="00000000" w:rsidRPr="00000000">
                    <w:rPr>
                      <w:color w:val="333333"/>
                      <w:sz w:val="21"/>
                      <w:szCs w:val="21"/>
                    </w:rPr>
                    <w:drawing>
                      <wp:inline distB="114300" distT="114300" distL="114300" distR="114300">
                        <wp:extent cx="215900" cy="203200"/>
                        <wp:effectExtent b="0" l="0" r="0" t="0"/>
                        <wp:docPr descr="Vergrößern" id="3" name="image1.png"/>
                        <a:graphic>
                          <a:graphicData uri="http://schemas.openxmlformats.org/drawingml/2006/picture">
                            <pic:pic>
                              <pic:nvPicPr>
                                <pic:cNvPr descr="Vergrößern" id="0" name="image1.png"/>
                                <pic:cNvPicPr preferRelativeResize="0"/>
                              </pic:nvPicPr>
                              <pic:blipFill>
                                <a:blip r:embed="rId8"/>
                                <a:srcRect b="0" l="0" r="0" t="0"/>
                                <a:stretch>
                                  <a:fillRect/>
                                </a:stretch>
                              </pic:blipFill>
                              <pic:spPr>
                                <a:xfrm>
                                  <a:off x="0" y="0"/>
                                  <a:ext cx="2159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342.8568" w:lineRule="auto"/>
                    <w:rPr>
                      <w:color w:val="333333"/>
                      <w:sz w:val="21"/>
                      <w:szCs w:val="21"/>
                    </w:rPr>
                  </w:pPr>
                  <w:r w:rsidDel="00000000" w:rsidR="00000000" w:rsidRPr="00000000">
                    <w:rPr>
                      <w:color w:val="333333"/>
                      <w:sz w:val="21"/>
                      <w:szCs w:val="21"/>
                      <w:rtl w:val="0"/>
                    </w:rPr>
                    <w:t xml:space="preserve">Abb. 6-2: Gründe für den Einsatz mehrerer Versanddienstleister</w:t>
                  </w:r>
                </w:p>
                <w:p w:rsidR="00000000" w:rsidDel="00000000" w:rsidP="00000000" w:rsidRDefault="00000000" w:rsidRPr="00000000" w14:paraId="00000038">
                  <w:pPr>
                    <w:spacing w:after="160" w:line="342.8568" w:lineRule="auto"/>
                    <w:rPr>
                      <w:color w:val="333333"/>
                      <w:sz w:val="21"/>
                      <w:szCs w:val="21"/>
                    </w:rPr>
                  </w:pPr>
                  <w:r w:rsidDel="00000000" w:rsidR="00000000" w:rsidRPr="00000000">
                    <w:rPr>
                      <w:color w:val="333333"/>
                      <w:sz w:val="21"/>
                      <w:szCs w:val="21"/>
                      <w:rtl w:val="0"/>
                    </w:rPr>
                    <w:t xml:space="preserve">Quelle: ibi research (E-Commerce in Deutschland 2008)</w:t>
                  </w:r>
                </w:p>
              </w:tc>
            </w:tr>
          </w:tbl>
          <w:p w:rsidR="00000000" w:rsidDel="00000000" w:rsidP="00000000" w:rsidRDefault="00000000" w:rsidRPr="00000000" w14:paraId="00000039">
            <w:pPr>
              <w:spacing w:line="342.8568" w:lineRule="auto"/>
              <w:rPr>
                <w:color w:val="33333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rPr>
                <w:color w:val="333333"/>
                <w:sz w:val="21"/>
                <w:szCs w:val="21"/>
              </w:rPr>
            </w:pPr>
            <w:r w:rsidDel="00000000" w:rsidR="00000000" w:rsidRPr="00000000">
              <w:rPr>
                <w:rtl w:val="0"/>
              </w:rPr>
            </w:r>
          </w:p>
          <w:tbl>
            <w:tblPr>
              <w:tblStyle w:val="Table6"/>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trHeight w:val="1320" w:hRule="atLeast"/>
              </w:trPr>
              <w:tc>
                <w:tcPr>
                  <w:tcBorders>
                    <w:top w:color="000000" w:space="0" w:sz="0" w:val="nil"/>
                    <w:left w:color="000000" w:space="0" w:sz="0" w:val="nil"/>
                    <w:bottom w:color="000000" w:space="0" w:sz="0" w:val="nil"/>
                    <w:right w:color="000000" w:space="0" w:sz="0" w:val="nil"/>
                  </w:tcBorders>
                  <w:shd w:fill="ebebeb" w:val="clear"/>
                  <w:tcMar>
                    <w:top w:w="0.0" w:type="dxa"/>
                    <w:left w:w="0.0" w:type="dxa"/>
                    <w:bottom w:w="0.0" w:type="dxa"/>
                    <w:right w:w="0.0" w:type="dxa"/>
                  </w:tcMar>
                  <w:vAlign w:val="top"/>
                </w:tcPr>
                <w:p w:rsidR="00000000" w:rsidDel="00000000" w:rsidP="00000000" w:rsidRDefault="00000000" w:rsidRPr="00000000" w14:paraId="0000003B">
                  <w:pPr>
                    <w:spacing w:line="342.8568" w:lineRule="auto"/>
                    <w:rPr>
                      <w:color w:val="333333"/>
                      <w:sz w:val="21"/>
                      <w:szCs w:val="21"/>
                    </w:rPr>
                  </w:pPr>
                  <w:r w:rsidDel="00000000" w:rsidR="00000000" w:rsidRPr="00000000">
                    <w:rPr>
                      <w:b w:val="1"/>
                      <w:color w:val="333333"/>
                      <w:sz w:val="21"/>
                      <w:szCs w:val="21"/>
                      <w:rtl w:val="0"/>
                    </w:rPr>
                    <w:t xml:space="preserve">"Welche optionalen Leistungen bieten Sie Ihren Kunden beim Versand an bzw. wollen Sie künftig anbieten?"</w:t>
                  </w:r>
                  <w:r w:rsidDel="00000000" w:rsidR="00000000" w:rsidRPr="00000000">
                    <w:rPr>
                      <w:rtl w:val="0"/>
                    </w:rPr>
                  </w:r>
                </w:p>
              </w:tc>
            </w:tr>
            <w:tr>
              <w:trPr>
                <w:trHeight w:val="21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spacing w:line="342.8568" w:lineRule="auto"/>
                    <w:rPr>
                      <w:color w:val="333333"/>
                      <w:sz w:val="21"/>
                      <w:szCs w:val="21"/>
                    </w:rPr>
                  </w:pPr>
                  <w:r w:rsidDel="00000000" w:rsidR="00000000" w:rsidRPr="00000000">
                    <w:rPr>
                      <w:color w:val="333333"/>
                      <w:sz w:val="21"/>
                      <w:szCs w:val="21"/>
                    </w:rPr>
                    <w:drawing>
                      <wp:inline distB="114300" distT="114300" distL="114300" distR="114300">
                        <wp:extent cx="3060700" cy="1778000"/>
                        <wp:effectExtent b="0" l="0" r="0" t="0"/>
                        <wp:docPr descr="abb6-3" id="5" name="image3.gif"/>
                        <a:graphic>
                          <a:graphicData uri="http://schemas.openxmlformats.org/drawingml/2006/picture">
                            <pic:pic>
                              <pic:nvPicPr>
                                <pic:cNvPr descr="abb6-3" id="0" name="image3.gif"/>
                                <pic:cNvPicPr preferRelativeResize="0"/>
                              </pic:nvPicPr>
                              <pic:blipFill>
                                <a:blip r:embed="rId9"/>
                                <a:srcRect b="0" l="0" r="0" t="0"/>
                                <a:stretch>
                                  <a:fillRect/>
                                </a:stretch>
                              </pic:blipFill>
                              <pic:spPr>
                                <a:xfrm>
                                  <a:off x="0" y="0"/>
                                  <a:ext cx="3060700" cy="1778000"/>
                                </a:xfrm>
                                <a:prstGeom prst="rect"/>
                                <a:ln/>
                              </pic:spPr>
                            </pic:pic>
                          </a:graphicData>
                        </a:graphic>
                      </wp:inline>
                    </w:drawing>
                  </w:r>
                  <w:r w:rsidDel="00000000" w:rsidR="00000000" w:rsidRPr="00000000">
                    <w:rPr>
                      <w:rtl w:val="0"/>
                    </w:rPr>
                  </w:r>
                </w:p>
              </w:tc>
            </w:tr>
            <w:tr>
              <w:trPr>
                <w:trHeight w:val="960" w:hRule="atLeast"/>
              </w:trPr>
              <w:tc>
                <w:tcPr>
                  <w:tcBorders>
                    <w:top w:color="000000" w:space="0" w:sz="0" w:val="nil"/>
                    <w:left w:color="000000" w:space="0" w:sz="0" w:val="nil"/>
                    <w:bottom w:color="000000" w:space="0" w:sz="0" w:val="nil"/>
                    <w:right w:color="000000" w:space="0" w:sz="0" w:val="nil"/>
                  </w:tcBorders>
                  <w:shd w:fill="ebebeb" w:val="clear"/>
                  <w:tcMar>
                    <w:top w:w="0.0" w:type="dxa"/>
                    <w:left w:w="0.0" w:type="dxa"/>
                    <w:bottom w:w="0.0" w:type="dxa"/>
                    <w:right w:w="0.0" w:type="dxa"/>
                  </w:tcMar>
                  <w:vAlign w:val="top"/>
                </w:tcPr>
                <w:p w:rsidR="00000000" w:rsidDel="00000000" w:rsidP="00000000" w:rsidRDefault="00000000" w:rsidRPr="00000000" w14:paraId="0000003D">
                  <w:pPr>
                    <w:spacing w:after="160" w:line="342.8568" w:lineRule="auto"/>
                    <w:jc w:val="right"/>
                    <w:rPr>
                      <w:color w:val="333333"/>
                      <w:sz w:val="21"/>
                      <w:szCs w:val="21"/>
                    </w:rPr>
                  </w:pPr>
                  <w:r w:rsidDel="00000000" w:rsidR="00000000" w:rsidRPr="00000000">
                    <w:rPr>
                      <w:color w:val="333333"/>
                      <w:sz w:val="21"/>
                      <w:szCs w:val="21"/>
                    </w:rPr>
                    <w:drawing>
                      <wp:inline distB="114300" distT="114300" distL="114300" distR="114300">
                        <wp:extent cx="215900" cy="203200"/>
                        <wp:effectExtent b="0" l="0" r="0" t="0"/>
                        <wp:docPr descr="Vergrößern" id="4" name="image2.png"/>
                        <a:graphic>
                          <a:graphicData uri="http://schemas.openxmlformats.org/drawingml/2006/picture">
                            <pic:pic>
                              <pic:nvPicPr>
                                <pic:cNvPr descr="Vergrößern" id="0" name="image2.png"/>
                                <pic:cNvPicPr preferRelativeResize="0"/>
                              </pic:nvPicPr>
                              <pic:blipFill>
                                <a:blip r:embed="rId10"/>
                                <a:srcRect b="0" l="0" r="0" t="0"/>
                                <a:stretch>
                                  <a:fillRect/>
                                </a:stretch>
                              </pic:blipFill>
                              <pic:spPr>
                                <a:xfrm>
                                  <a:off x="0" y="0"/>
                                  <a:ext cx="2159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342.8568" w:lineRule="auto"/>
                    <w:jc w:val="right"/>
                    <w:rPr>
                      <w:color w:val="333333"/>
                      <w:sz w:val="21"/>
                      <w:szCs w:val="21"/>
                    </w:rPr>
                  </w:pPr>
                  <w:r w:rsidDel="00000000" w:rsidR="00000000" w:rsidRPr="00000000">
                    <w:rPr>
                      <w:color w:val="333333"/>
                      <w:sz w:val="21"/>
                      <w:szCs w:val="21"/>
                      <w:rtl w:val="0"/>
                    </w:rPr>
                    <w:t xml:space="preserve">Abb. 6-3: Von Online-Händlern angebotene</w:t>
                  </w:r>
                </w:p>
              </w:tc>
            </w:tr>
          </w:tbl>
          <w:p w:rsidR="00000000" w:rsidDel="00000000" w:rsidP="00000000" w:rsidRDefault="00000000" w:rsidRPr="00000000" w14:paraId="0000003F">
            <w:pPr>
              <w:spacing w:line="342.8568" w:lineRule="auto"/>
              <w:rPr>
                <w:color w:val="333333"/>
                <w:sz w:val="21"/>
                <w:szCs w:val="21"/>
              </w:rPr>
            </w:pPr>
            <w:r w:rsidDel="00000000" w:rsidR="00000000" w:rsidRPr="00000000">
              <w:rPr>
                <w:rtl w:val="0"/>
              </w:rPr>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6632437" cy="404336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32437"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www.zoll.de/" TargetMode="External"/><Relationship Id="rId7" Type="http://schemas.openxmlformats.org/officeDocument/2006/relationships/image" Target="media/image4.gi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