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1580197" cy="158019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80197" cy="1580197"/>
                    </a:xfrm>
                    <a:prstGeom prst="rect"/>
                    <a:ln/>
                  </pic:spPr>
                </pic:pic>
              </a:graphicData>
            </a:graphic>
          </wp:anchor>
        </w:drawing>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B">
            <w:pPr>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C">
            <w:pPr>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D">
            <w:pPr>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E">
            <w:pPr>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F">
            <w:pPr>
              <w:jc w:val="left"/>
              <w:rPr>
                <w:rFonts w:ascii="Calibri" w:cs="Calibri" w:eastAsia="Calibri" w:hAnsi="Calibri"/>
                <w:color w:val="9900ff"/>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color w:val="9900ff"/>
                <w:sz w:val="26"/>
                <w:szCs w:val="26"/>
                <w:rtl w:val="0"/>
              </w:rPr>
              <w:t xml:space="preserve"> ACUERDO DE CONFIDENCIALIDAD</w:t>
            </w:r>
            <w:r w:rsidDel="00000000" w:rsidR="00000000" w:rsidRPr="00000000">
              <w:rPr>
                <w:rtl w:val="0"/>
              </w:rPr>
            </w:r>
          </w:p>
          <w:p w:rsidR="00000000" w:rsidDel="00000000" w:rsidP="00000000" w:rsidRDefault="00000000" w:rsidRPr="00000000" w14:paraId="00000010">
            <w:pPr>
              <w:jc w:val="right"/>
              <w:rPr>
                <w:rFonts w:ascii="Calibri" w:cs="Calibri" w:eastAsia="Calibri" w:hAnsi="Calibri"/>
              </w:rPr>
            </w:pPr>
            <w:r w:rsidDel="00000000" w:rsidR="00000000" w:rsidRPr="00000000">
              <w:rPr>
                <w:rFonts w:ascii="Calibri" w:cs="Calibri" w:eastAsia="Calibri" w:hAnsi="Calibri"/>
                <w:i w:val="1"/>
                <w:iCs w:val="1"/>
                <w:color w:val="6b7280"/>
                <w:sz w:val="19"/>
                <w:szCs w:val="19"/>
                <w:rtl w:val="0"/>
              </w:rPr>
              <w:t xml:space="preserve">Non-Disclosure Agreement — Prometheo CRM</w:t>
            </w:r>
            <w:r w:rsidDel="00000000" w:rsidR="00000000" w:rsidRPr="00000000">
              <w:rPr>
                <w:rtl w:val="0"/>
              </w:rPr>
            </w:r>
          </w:p>
          <w:p w:rsidR="00000000" w:rsidDel="00000000" w:rsidP="00000000" w:rsidRDefault="00000000" w:rsidRPr="00000000" w14:paraId="00000011">
            <w:pPr>
              <w:spacing w:after="0" w:lineRule="auto"/>
              <w:jc w:val="right"/>
              <w:rPr>
                <w:rFonts w:ascii="Calibri" w:cs="Calibri" w:eastAsia="Calibri" w:hAnsi="Calibri"/>
              </w:rPr>
            </w:pPr>
            <w:r w:rsidDel="00000000" w:rsidR="00000000" w:rsidRPr="00000000">
              <w:rPr>
                <w:rFonts w:ascii="Calibri" w:cs="Calibri" w:eastAsia="Calibri" w:hAnsi="Calibri"/>
                <w:color w:val="6b7280"/>
                <w:sz w:val="19"/>
                <w:szCs w:val="19"/>
                <w:rtl w:val="0"/>
              </w:rPr>
              <w:t xml:space="preserve">Buenos Aires, 25 de Junio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2">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3">
            <w:pPr>
              <w:jc w:val="right"/>
              <w:rPr>
                <w:rFonts w:ascii="Calibri" w:cs="Calibri" w:eastAsia="Calibri" w:hAnsi="Calibri"/>
                <w:b w:val="1"/>
                <w:bCs w:val="1"/>
                <w:sz w:val="26"/>
                <w:szCs w:val="26"/>
              </w:rPr>
            </w:pPr>
            <w:r w:rsidDel="00000000" w:rsidR="00000000" w:rsidRPr="00000000">
              <w:rPr>
                <w:rtl w:val="0"/>
              </w:rPr>
            </w:r>
          </w:p>
        </w:tc>
      </w:tr>
    </w:tbl>
    <w:p w:rsidR="00000000" w:rsidDel="00000000" w:rsidP="00000000" w:rsidRDefault="00000000" w:rsidRPr="00000000" w14:paraId="00000014">
      <w:pPr>
        <w:pBdr>
          <w:bottom w:color="1a6a72" w:space="1" w:sz="6" w:val="single"/>
        </w:pBd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20" w:lineRule="auto"/>
        <w:rPr>
          <w:rFonts w:ascii="Calibri" w:cs="Calibri" w:eastAsia="Calibri" w:hAnsi="Calibri"/>
        </w:rPr>
      </w:pPr>
      <w:r w:rsidDel="00000000" w:rsidR="00000000" w:rsidRPr="00000000">
        <w:rPr>
          <w:rFonts w:ascii="Calibri" w:cs="Calibri" w:eastAsia="Calibri" w:hAnsi="Calibri"/>
          <w:color w:val="0d1f2d"/>
          <w:sz w:val="21"/>
          <w:szCs w:val="21"/>
          <w:rtl w:val="0"/>
        </w:rPr>
        <w:t xml:space="preserve">Entre las partes que a continuación se identifican:</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00ff" w:val="clear"/>
            <w:tcMar>
              <w:top w:w="80.0" w:type="dxa"/>
              <w:left w:w="200.0" w:type="dxa"/>
              <w:bottom w:w="80.0" w:type="dxa"/>
              <w:right w:w="200.0" w:type="dxa"/>
            </w:tcMa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PARTE DIVULGANTE Y PRESTADORA DE SERVICIOS — ÁUREA HUB</w:t>
            </w:r>
            <w:r w:rsidDel="00000000" w:rsidR="00000000" w:rsidRPr="00000000">
              <w:rPr>
                <w:rtl w:val="0"/>
              </w:rPr>
            </w:r>
          </w:p>
        </w:tc>
      </w:tr>
    </w:tbl>
    <w:p w:rsidR="00000000" w:rsidDel="00000000" w:rsidP="00000000" w:rsidRDefault="00000000" w:rsidRPr="00000000" w14:paraId="00000018">
      <w:pPr>
        <w:spacing w:after="40" w:lineRule="auto"/>
        <w:rPr>
          <w:rFonts w:ascii="Calibri" w:cs="Calibri" w:eastAsia="Calibri" w:hAnsi="Calibri"/>
        </w:rPr>
      </w:pPr>
      <w:r w:rsidDel="00000000" w:rsidR="00000000" w:rsidRPr="00000000">
        <w:rPr>
          <w:rtl w:val="0"/>
        </w:rPr>
      </w:r>
    </w:p>
    <w:tbl>
      <w:tblPr>
        <w:tblStyle w:val="Table3"/>
        <w:tblW w:w="9638.0" w:type="dxa"/>
        <w:jc w:val="left"/>
        <w:tblBorders>
          <w:top w:color="1a6a72" w:space="0" w:sz="4" w:val="single"/>
          <w:left w:color="1a6a72" w:space="0" w:sz="4" w:val="single"/>
          <w:bottom w:color="1a6a72" w:space="0" w:sz="4" w:val="single"/>
          <w:right w:color="1a6a72"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7f8" w:val="clear"/>
            <w:tcMar>
              <w:top w:w="120.0" w:type="dxa"/>
              <w:left w:w="240.0" w:type="dxa"/>
              <w:bottom w:w="120.0" w:type="dxa"/>
              <w:right w:w="240.0" w:type="dxa"/>
            </w:tcMar>
          </w:tcPr>
          <w:p w:rsidR="00000000" w:rsidDel="00000000" w:rsidP="00000000" w:rsidRDefault="00000000" w:rsidRPr="00000000" w14:paraId="00000019">
            <w:pPr>
              <w:spacing w:after="60" w:lineRule="auto"/>
              <w:rPr>
                <w:rFonts w:ascii="Calibri" w:cs="Calibri" w:eastAsia="Calibri" w:hAnsi="Calibri"/>
              </w:rPr>
            </w:pPr>
            <w:r w:rsidDel="00000000" w:rsidR="00000000" w:rsidRPr="00000000">
              <w:rPr>
                <w:rFonts w:ascii="Calibri" w:cs="Calibri" w:eastAsia="Calibri" w:hAnsi="Calibri"/>
                <w:b w:val="1"/>
                <w:bCs w:val="1"/>
                <w:color w:val="9900ff"/>
                <w:sz w:val="20"/>
                <w:szCs w:val="20"/>
                <w:rtl w:val="0"/>
              </w:rPr>
              <w:t xml:space="preserve">Denominación</w:t>
            </w:r>
            <w:r w:rsidDel="00000000" w:rsidR="00000000" w:rsidRPr="00000000">
              <w:rPr>
                <w:rFonts w:ascii="Calibri" w:cs="Calibri" w:eastAsia="Calibri" w:hAnsi="Calibri"/>
                <w:b w:val="1"/>
                <w:bCs w:val="1"/>
                <w:color w:val="1a6a72"/>
                <w:sz w:val="20"/>
                <w:szCs w:val="20"/>
                <w:rtl w:val="0"/>
              </w:rPr>
              <w:t xml:space="preserve">: </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color w:val="0d1f2d"/>
                <w:sz w:val="20"/>
                <w:szCs w:val="20"/>
                <w:rtl w:val="0"/>
              </w:rPr>
              <w:t xml:space="preserve">UREA HUB (en proceso de constitución como Sociedad por Acciones Simplificada conforme Ley 27.349; actuando en este acto representada por sus fundadores).</w:t>
            </w:r>
            <w:r w:rsidDel="00000000" w:rsidR="00000000" w:rsidRPr="00000000">
              <w:rPr>
                <w:rtl w:val="0"/>
              </w:rPr>
            </w:r>
          </w:p>
          <w:p w:rsidR="00000000" w:rsidDel="00000000" w:rsidP="00000000" w:rsidRDefault="00000000" w:rsidRPr="00000000" w14:paraId="0000001A">
            <w:pPr>
              <w:spacing w:after="60" w:lineRule="auto"/>
              <w:rPr>
                <w:rFonts w:ascii="Calibri" w:cs="Calibri" w:eastAsia="Calibri" w:hAnsi="Calibri"/>
              </w:rPr>
            </w:pPr>
            <w:r w:rsidDel="00000000" w:rsidR="00000000" w:rsidRPr="00000000">
              <w:rPr>
                <w:rFonts w:ascii="Calibri" w:cs="Calibri" w:eastAsia="Calibri" w:hAnsi="Calibri"/>
                <w:b w:val="1"/>
                <w:bCs w:val="1"/>
                <w:color w:val="9900ff"/>
                <w:sz w:val="20"/>
                <w:szCs w:val="20"/>
                <w:rtl w:val="0"/>
              </w:rPr>
              <w:t xml:space="preserve">Representantes:</w:t>
            </w:r>
            <w:r w:rsidDel="00000000" w:rsidR="00000000" w:rsidRPr="00000000">
              <w:rPr>
                <w:rFonts w:ascii="Calibri" w:cs="Calibri" w:eastAsia="Calibri" w:hAnsi="Calibri"/>
                <w:b w:val="1"/>
                <w:bCs w:val="1"/>
                <w:color w:val="1a6a72"/>
                <w:sz w:val="20"/>
                <w:szCs w:val="20"/>
                <w:rtl w:val="0"/>
              </w:rPr>
              <w:t xml:space="preserve"> </w:t>
            </w:r>
            <w:r w:rsidDel="00000000" w:rsidR="00000000" w:rsidRPr="00000000">
              <w:rPr>
                <w:rFonts w:ascii="Calibri" w:cs="Calibri" w:eastAsia="Calibri" w:hAnsi="Calibri"/>
                <w:color w:val="0d1f2d"/>
                <w:sz w:val="20"/>
                <w:szCs w:val="20"/>
                <w:rtl w:val="0"/>
              </w:rPr>
              <w:t xml:space="preserve">Magalí Dominguez, CEO &amp; Co-Founder (DNI: 35.377.338) y Valentín Zas, BDM/Consulting &amp; Co-Founder (DNI: 38.324.201).</w:t>
            </w:r>
            <w:r w:rsidDel="00000000" w:rsidR="00000000" w:rsidRPr="00000000">
              <w:rPr>
                <w:rtl w:val="0"/>
              </w:rPr>
            </w:r>
          </w:p>
          <w:p w:rsidR="00000000" w:rsidDel="00000000" w:rsidP="00000000" w:rsidRDefault="00000000" w:rsidRPr="00000000" w14:paraId="0000001B">
            <w:pPr>
              <w:spacing w:after="60" w:lineRule="auto"/>
              <w:rPr>
                <w:rFonts w:ascii="Calibri" w:cs="Calibri" w:eastAsia="Calibri" w:hAnsi="Calibri"/>
              </w:rPr>
            </w:pPr>
            <w:r w:rsidDel="00000000" w:rsidR="00000000" w:rsidRPr="00000000">
              <w:rPr>
                <w:rFonts w:ascii="Calibri" w:cs="Calibri" w:eastAsia="Calibri" w:hAnsi="Calibri"/>
                <w:b w:val="1"/>
                <w:bCs w:val="1"/>
                <w:color w:val="9900ff"/>
                <w:sz w:val="20"/>
                <w:szCs w:val="20"/>
                <w:rtl w:val="0"/>
              </w:rPr>
              <w:t xml:space="preserve">Domicilio: </w:t>
            </w:r>
            <w:r w:rsidDel="00000000" w:rsidR="00000000" w:rsidRPr="00000000">
              <w:rPr>
                <w:rFonts w:ascii="Calibri" w:cs="Calibri" w:eastAsia="Calibri" w:hAnsi="Calibri"/>
                <w:color w:val="0d1f2d"/>
                <w:sz w:val="20"/>
                <w:szCs w:val="20"/>
                <w:rtl w:val="0"/>
              </w:rPr>
              <w:t xml:space="preserve">Rodríguez Peña 195, 2C, Ramos Mejía, Buenos Aires, República Argentina.</w:t>
            </w:r>
            <w:r w:rsidDel="00000000" w:rsidR="00000000" w:rsidRPr="00000000">
              <w:rPr>
                <w:rtl w:val="0"/>
              </w:rPr>
            </w:r>
          </w:p>
          <w:p w:rsidR="00000000" w:rsidDel="00000000" w:rsidP="00000000" w:rsidRDefault="00000000" w:rsidRPr="00000000" w14:paraId="0000001C">
            <w:pPr>
              <w:spacing w:after="60" w:lineRule="auto"/>
              <w:rPr>
                <w:rFonts w:ascii="Calibri" w:cs="Calibri" w:eastAsia="Calibri" w:hAnsi="Calibri"/>
              </w:rPr>
            </w:pPr>
            <w:r w:rsidDel="00000000" w:rsidR="00000000" w:rsidRPr="00000000">
              <w:rPr>
                <w:rFonts w:ascii="Calibri" w:cs="Calibri" w:eastAsia="Calibri" w:hAnsi="Calibri"/>
                <w:b w:val="1"/>
                <w:bCs w:val="1"/>
                <w:color w:val="9900ff"/>
                <w:sz w:val="20"/>
                <w:szCs w:val="20"/>
                <w:rtl w:val="0"/>
              </w:rPr>
              <w:t xml:space="preserve">Correo electrónico:</w:t>
            </w:r>
            <w:r w:rsidDel="00000000" w:rsidR="00000000" w:rsidRPr="00000000">
              <w:rPr>
                <w:rFonts w:ascii="Calibri" w:cs="Calibri" w:eastAsia="Calibri" w:hAnsi="Calibri"/>
                <w:b w:val="1"/>
                <w:bCs w:val="1"/>
                <w:color w:val="1a6a72"/>
                <w:sz w:val="20"/>
                <w:szCs w:val="20"/>
                <w:rtl w:val="0"/>
              </w:rPr>
              <w:t xml:space="preserve"> </w:t>
            </w:r>
            <w:r w:rsidDel="00000000" w:rsidR="00000000" w:rsidRPr="00000000">
              <w:rPr>
                <w:rFonts w:ascii="Calibri" w:cs="Calibri" w:eastAsia="Calibri" w:hAnsi="Calibri"/>
                <w:color w:val="0d1f2d"/>
                <w:sz w:val="20"/>
                <w:szCs w:val="20"/>
                <w:rtl w:val="0"/>
              </w:rPr>
              <w:t xml:space="preserve">magali@aureahub.com.ar / valentin@aureahub.com.ar</w:t>
            </w:r>
            <w:r w:rsidDel="00000000" w:rsidR="00000000" w:rsidRPr="00000000">
              <w:rPr>
                <w:rtl w:val="0"/>
              </w:rPr>
            </w:r>
          </w:p>
          <w:p w:rsidR="00000000" w:rsidDel="00000000" w:rsidP="00000000" w:rsidRDefault="00000000" w:rsidRPr="00000000" w14:paraId="0000001D">
            <w:pPr>
              <w:spacing w:after="60" w:lineRule="auto"/>
              <w:rPr>
                <w:rFonts w:ascii="Calibri" w:cs="Calibri" w:eastAsia="Calibri" w:hAnsi="Calibri"/>
              </w:rPr>
            </w:pPr>
            <w:r w:rsidDel="00000000" w:rsidR="00000000" w:rsidRPr="00000000">
              <w:rPr>
                <w:rFonts w:ascii="Calibri" w:cs="Calibri" w:eastAsia="Calibri" w:hAnsi="Calibri"/>
                <w:b w:val="1"/>
                <w:bCs w:val="1"/>
                <w:color w:val="9900ff"/>
                <w:sz w:val="20"/>
                <w:szCs w:val="20"/>
                <w:rtl w:val="0"/>
              </w:rPr>
              <w:t xml:space="preserve">En adelante:</w:t>
            </w:r>
            <w:r w:rsidDel="00000000" w:rsidR="00000000" w:rsidRPr="00000000">
              <w:rPr>
                <w:rFonts w:ascii="Calibri" w:cs="Calibri" w:eastAsia="Calibri" w:hAnsi="Calibri"/>
                <w:b w:val="1"/>
                <w:bCs w:val="1"/>
                <w:color w:val="1a6a72"/>
                <w:sz w:val="20"/>
                <w:szCs w:val="20"/>
                <w:rtl w:val="0"/>
              </w:rPr>
              <w:t xml:space="preserve"> </w:t>
            </w:r>
            <w:r w:rsidDel="00000000" w:rsidR="00000000" w:rsidRPr="00000000">
              <w:rPr>
                <w:rFonts w:ascii="Calibri" w:cs="Calibri" w:eastAsia="Calibri" w:hAnsi="Calibri"/>
                <w:color w:val="0d1f2d"/>
                <w:sz w:val="20"/>
                <w:szCs w:val="20"/>
                <w:rtl w:val="0"/>
              </w:rPr>
              <w:t xml:space="preserve">"</w:t>
            </w: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color w:val="0d1f2d"/>
                <w:sz w:val="20"/>
                <w:szCs w:val="20"/>
                <w:rtl w:val="0"/>
              </w:rPr>
              <w:t xml:space="preserve">UREA HUB" o "Parte Divulgante".</w:t>
            </w:r>
            <w:r w:rsidDel="00000000" w:rsidR="00000000" w:rsidRPr="00000000">
              <w:rPr>
                <w:rtl w:val="0"/>
              </w:rPr>
            </w:r>
          </w:p>
        </w:tc>
      </w:tr>
    </w:tbl>
    <w:p w:rsidR="00000000" w:rsidDel="00000000" w:rsidP="00000000" w:rsidRDefault="00000000" w:rsidRPr="00000000" w14:paraId="0000001E">
      <w:pPr>
        <w:spacing w:after="120" w:lineRule="auto"/>
        <w:rPr>
          <w:rFonts w:ascii="Calibri" w:cs="Calibri" w:eastAsia="Calibri" w:hAnsi="Calibri"/>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00ff" w:val="clear"/>
            <w:tcMar>
              <w:top w:w="80.0" w:type="dxa"/>
              <w:left w:w="200.0" w:type="dxa"/>
              <w:bottom w:w="80.0" w:type="dxa"/>
              <w:right w:w="200.0" w:type="dxa"/>
            </w:tcMa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PARTE RECEPTORA — CLIENTE</w:t>
            </w:r>
            <w:r w:rsidDel="00000000" w:rsidR="00000000" w:rsidRPr="00000000">
              <w:rPr>
                <w:rtl w:val="0"/>
              </w:rPr>
            </w:r>
          </w:p>
        </w:tc>
      </w:tr>
    </w:tbl>
    <w:p w:rsidR="00000000" w:rsidDel="00000000" w:rsidP="00000000" w:rsidRDefault="00000000" w:rsidRPr="00000000" w14:paraId="00000020">
      <w:pPr>
        <w:spacing w:after="40" w:lineRule="auto"/>
        <w:rPr>
          <w:rFonts w:ascii="Calibri" w:cs="Calibri" w:eastAsia="Calibri" w:hAnsi="Calibri"/>
        </w:rPr>
      </w:pPr>
      <w:r w:rsidDel="00000000" w:rsidR="00000000" w:rsidRPr="00000000">
        <w:rPr>
          <w:rtl w:val="0"/>
        </w:rPr>
      </w:r>
    </w:p>
    <w:tbl>
      <w:tblPr>
        <w:tblStyle w:val="Table5"/>
        <w:tblW w:w="9638.0" w:type="dxa"/>
        <w:jc w:val="left"/>
        <w:tblBorders>
          <w:top w:color="0d1f2d" w:space="0" w:sz="4" w:val="single"/>
          <w:left w:color="0d1f2d" w:space="0" w:sz="4" w:val="single"/>
          <w:bottom w:color="0d1f2d" w:space="0" w:sz="4" w:val="single"/>
          <w:right w:color="0d1f2d"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0f4" w:val="clear"/>
            <w:tcMar>
              <w:top w:w="120.0" w:type="dxa"/>
              <w:left w:w="240.0" w:type="dxa"/>
              <w:bottom w:w="120.0" w:type="dxa"/>
              <w:right w:w="240.0" w:type="dxa"/>
            </w:tcMar>
          </w:tcPr>
          <w:p w:rsidR="00000000" w:rsidDel="00000000" w:rsidP="00000000" w:rsidRDefault="00000000" w:rsidRPr="00000000" w14:paraId="00000021">
            <w:pPr>
              <w:spacing w:after="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Parte Receptora está integrada por las siguientes empresas, todas ellas pertenecientes y/o controladas por el Sr. Sebastián Mato, quien actúa en representación de todas ellas en este acto:</w:t>
            </w:r>
          </w:p>
          <w:p w:rsidR="00000000" w:rsidDel="00000000" w:rsidP="00000000" w:rsidRDefault="00000000" w:rsidRPr="00000000" w14:paraId="00000022">
            <w:pPr>
              <w:spacing w:after="6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9900ff"/>
                <w:sz w:val="20"/>
                <w:szCs w:val="20"/>
                <w:rtl w:val="0"/>
              </w:rPr>
              <w:t xml:space="preserve">1. EDFAN Real Estate</w:t>
            </w:r>
            <w:r w:rsidDel="00000000" w:rsidR="00000000" w:rsidRPr="00000000">
              <w:rPr>
                <w:rFonts w:ascii="Calibri" w:cs="Calibri" w:eastAsia="Calibri" w:hAnsi="Calibri"/>
                <w:color w:val="000000"/>
                <w:sz w:val="20"/>
                <w:szCs w:val="20"/>
                <w:rtl w:val="0"/>
              </w:rPr>
              <w:t xml:space="preserve">. Razón Social: CGND S.A. (CUIT 30-71490115-6) y EDFAN S.R.L. (CUIT 30-61075696-0). Domicilio legal: Combatientes de Malvinas 3579, CABA.</w:t>
            </w:r>
          </w:p>
          <w:p w:rsidR="00000000" w:rsidDel="00000000" w:rsidP="00000000" w:rsidRDefault="00000000" w:rsidRPr="00000000" w14:paraId="00000023">
            <w:pPr>
              <w:spacing w:after="6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9900ff"/>
                <w:sz w:val="20"/>
                <w:szCs w:val="20"/>
                <w:rtl w:val="0"/>
              </w:rPr>
              <w:t xml:space="preserve">2. BETROX</w:t>
            </w:r>
            <w:r w:rsidDel="00000000" w:rsidR="00000000" w:rsidRPr="00000000">
              <w:rPr>
                <w:rFonts w:ascii="Calibri" w:cs="Calibri" w:eastAsia="Calibri" w:hAnsi="Calibri"/>
                <w:color w:val="000000"/>
                <w:sz w:val="20"/>
                <w:szCs w:val="20"/>
                <w:rtl w:val="0"/>
              </w:rPr>
              <w:t xml:space="preserve">. Razón Social: BS CONSTRUCCIONES S.A. (CUIT 30-70741979-9). Domicilio legal: Combatientes de Malvinas 3579, CABA.</w:t>
            </w:r>
          </w:p>
          <w:p w:rsidR="00000000" w:rsidDel="00000000" w:rsidP="00000000" w:rsidRDefault="00000000" w:rsidRPr="00000000" w14:paraId="00000024">
            <w:pPr>
              <w:spacing w:after="6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9900ff"/>
                <w:sz w:val="20"/>
                <w:szCs w:val="20"/>
                <w:rtl w:val="0"/>
              </w:rPr>
              <w:t xml:space="preserve">3. EDFAN Producto</w:t>
            </w:r>
            <w:r w:rsidDel="00000000" w:rsidR="00000000" w:rsidRPr="00000000">
              <w:rPr>
                <w:rFonts w:ascii="Calibri" w:cs="Calibri" w:eastAsia="Calibri" w:hAnsi="Calibri"/>
                <w:color w:val="000000"/>
                <w:sz w:val="20"/>
                <w:szCs w:val="20"/>
                <w:rtl w:val="0"/>
              </w:rPr>
              <w:t xml:space="preserve">s. Razón Social: BS CONSTRUCCIONES S.A. (CUIT 30-70741979-9). Domicilio legal: Combatientes de Malvinas 3579, CABA.</w:t>
            </w:r>
          </w:p>
          <w:p w:rsidR="00000000" w:rsidDel="00000000" w:rsidP="00000000" w:rsidRDefault="00000000" w:rsidRPr="00000000" w14:paraId="00000025">
            <w:pPr>
              <w:spacing w:after="6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9900ff"/>
                <w:sz w:val="20"/>
                <w:szCs w:val="20"/>
                <w:rtl w:val="0"/>
              </w:rPr>
              <w:t xml:space="preserve">4. ZATOH</w:t>
            </w:r>
            <w:r w:rsidDel="00000000" w:rsidR="00000000" w:rsidRPr="00000000">
              <w:rPr>
                <w:rFonts w:ascii="Calibri" w:cs="Calibri" w:eastAsia="Calibri" w:hAnsi="Calibri"/>
                <w:color w:val="000000"/>
                <w:sz w:val="20"/>
                <w:szCs w:val="20"/>
                <w:rtl w:val="0"/>
              </w:rPr>
              <w:t xml:space="preserve">. Razón Social: BS CONSTRUCCIONES S.A. (CUIT 30-70741979-9). Domicilio legal: Combatientes de Malvinas 3579, CABA.</w:t>
            </w:r>
          </w:p>
          <w:p w:rsidR="00000000" w:rsidDel="00000000" w:rsidP="00000000" w:rsidRDefault="00000000" w:rsidRPr="00000000" w14:paraId="00000026">
            <w:pPr>
              <w:spacing w:after="60" w:lineRule="auto"/>
              <w:rPr>
                <w:rFonts w:ascii="Calibri" w:cs="Calibri" w:eastAsia="Calibri" w:hAnsi="Calibri"/>
                <w:color w:val="000000"/>
                <w:sz w:val="20"/>
                <w:szCs w:val="20"/>
              </w:rPr>
            </w:pPr>
            <w:r w:rsidDel="00000000" w:rsidR="00000000" w:rsidRPr="00000000">
              <w:rPr>
                <w:rFonts w:ascii="Calibri" w:cs="Calibri" w:eastAsia="Calibri" w:hAnsi="Calibri"/>
                <w:b w:val="1"/>
                <w:bCs w:val="1"/>
                <w:color w:val="9900ff"/>
                <w:sz w:val="20"/>
                <w:szCs w:val="20"/>
                <w:rtl w:val="0"/>
              </w:rPr>
              <w:t xml:space="preserve">Representante:</w:t>
            </w:r>
            <w:r w:rsidDel="00000000" w:rsidR="00000000" w:rsidRPr="00000000">
              <w:rPr>
                <w:rFonts w:ascii="Calibri" w:cs="Calibri" w:eastAsia="Calibri" w:hAnsi="Calibri"/>
                <w:color w:val="000000"/>
                <w:sz w:val="20"/>
                <w:szCs w:val="20"/>
                <w:rtl w:val="0"/>
              </w:rPr>
              <w:t xml:space="preserve"> Sebastián Mato, DNI 22.539.833, en carácter de Apoderado de las empresas mencionadas.</w:t>
            </w:r>
          </w:p>
          <w:p w:rsidR="00000000" w:rsidDel="00000000" w:rsidP="00000000" w:rsidRDefault="00000000" w:rsidRPr="00000000" w14:paraId="00000027">
            <w:pPr>
              <w:spacing w:after="60" w:lineRule="auto"/>
              <w:rPr>
                <w:rFonts w:ascii="Calibri" w:cs="Calibri" w:eastAsia="Calibri" w:hAnsi="Calibri"/>
                <w:b w:val="1"/>
                <w:bCs w:val="1"/>
                <w:color w:val="9900ff"/>
                <w:sz w:val="20"/>
                <w:szCs w:val="20"/>
              </w:rPr>
            </w:pPr>
            <w:r w:rsidDel="00000000" w:rsidR="00000000" w:rsidRPr="00000000">
              <w:rPr>
                <w:rtl w:val="0"/>
              </w:rPr>
            </w:r>
          </w:p>
        </w:tc>
      </w:tr>
    </w:tbl>
    <w:p w:rsidR="00000000" w:rsidDel="00000000" w:rsidP="00000000" w:rsidRDefault="00000000" w:rsidRPr="00000000" w14:paraId="00000028">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40" w:line="280" w:lineRule="auto"/>
        <w:jc w:val="both"/>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y el Cliente serán referidos conjuntamente como las </w:t>
      </w:r>
      <w:r w:rsidDel="00000000" w:rsidR="00000000" w:rsidRPr="00000000">
        <w:rPr>
          <w:rFonts w:ascii="Calibri" w:cs="Calibri" w:eastAsia="Calibri" w:hAnsi="Calibri"/>
          <w:b w:val="1"/>
          <w:bCs w:val="1"/>
          <w:color w:val="0d1f2d"/>
          <w:sz w:val="21"/>
          <w:szCs w:val="21"/>
          <w:rtl w:val="0"/>
        </w:rPr>
        <w:t xml:space="preserve">"Partes"</w:t>
      </w:r>
      <w:r w:rsidDel="00000000" w:rsidR="00000000" w:rsidRPr="00000000">
        <w:rPr>
          <w:rFonts w:ascii="Calibri" w:cs="Calibri" w:eastAsia="Calibri" w:hAnsi="Calibri"/>
          <w:color w:val="0d1f2d"/>
          <w:sz w:val="21"/>
          <w:szCs w:val="21"/>
          <w:rtl w:val="0"/>
        </w:rPr>
        <w:t xml:space="preserve">, e individualmente como una </w:t>
      </w:r>
      <w:r w:rsidDel="00000000" w:rsidR="00000000" w:rsidRPr="00000000">
        <w:rPr>
          <w:rFonts w:ascii="Calibri" w:cs="Calibri" w:eastAsia="Calibri" w:hAnsi="Calibri"/>
          <w:b w:val="1"/>
          <w:bCs w:val="1"/>
          <w:color w:val="0d1f2d"/>
          <w:sz w:val="21"/>
          <w:szCs w:val="21"/>
          <w:rtl w:val="0"/>
        </w:rPr>
        <w:t xml:space="preserve">"Parte"</w:t>
      </w:r>
      <w:r w:rsidDel="00000000" w:rsidR="00000000" w:rsidRPr="00000000">
        <w:rPr>
          <w:rFonts w:ascii="Calibri" w:cs="Calibri" w:eastAsia="Calibri" w:hAnsi="Calibri"/>
          <w:color w:val="0d1f2d"/>
          <w:sz w:val="21"/>
          <w:szCs w:val="21"/>
          <w:rtl w:val="0"/>
        </w:rPr>
        <w:t xml:space="preserve">.</w:t>
      </w:r>
      <w:r w:rsidDel="00000000" w:rsidR="00000000" w:rsidRPr="00000000">
        <w:rPr>
          <w:rtl w:val="0"/>
        </w:rPr>
      </w:r>
    </w:p>
    <w:p w:rsidR="00000000" w:rsidDel="00000000" w:rsidP="00000000" w:rsidRDefault="00000000" w:rsidRPr="00000000" w14:paraId="0000002A">
      <w:pPr>
        <w:spacing w:after="10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Bdr>
          <w:bottom w:color="1a6a72" w:space="1" w:sz="6" w:val="single"/>
        </w:pBd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120" w:before="100" w:lineRule="auto"/>
        <w:rPr>
          <w:rFonts w:ascii="Calibri" w:cs="Calibri" w:eastAsia="Calibri" w:hAnsi="Calibri"/>
          <w:b w:val="1"/>
          <w:bCs w:val="1"/>
          <w:color w:val="9900ff"/>
          <w:sz w:val="23"/>
          <w:szCs w:val="23"/>
        </w:rPr>
      </w:pPr>
      <w:r w:rsidDel="00000000" w:rsidR="00000000" w:rsidRPr="00000000">
        <w:rPr>
          <w:rtl w:val="0"/>
        </w:rPr>
      </w:r>
    </w:p>
    <w:p w:rsidR="00000000" w:rsidDel="00000000" w:rsidP="00000000" w:rsidRDefault="00000000" w:rsidRPr="00000000" w14:paraId="0000002E">
      <w:pPr>
        <w:spacing w:after="120" w:before="100" w:lineRule="auto"/>
        <w:rPr>
          <w:rFonts w:ascii="Calibri" w:cs="Calibri" w:eastAsia="Calibri" w:hAnsi="Calibri"/>
          <w:b w:val="1"/>
          <w:bCs w:val="1"/>
          <w:color w:val="9900ff"/>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120" w:before="1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3"/>
          <w:szCs w:val="23"/>
          <w:rtl w:val="0"/>
        </w:rPr>
        <w:t xml:space="preserve">CONSIDERANDOS</w:t>
      </w:r>
      <w:r w:rsidDel="00000000" w:rsidR="00000000" w:rsidRPr="00000000">
        <w:rPr>
          <w:rtl w:val="0"/>
        </w:rPr>
      </w:r>
    </w:p>
    <w:p w:rsidR="00000000" w:rsidDel="00000000" w:rsidP="00000000" w:rsidRDefault="00000000" w:rsidRPr="00000000" w14:paraId="00000030">
      <w:pPr>
        <w:spacing w:after="140" w:line="280" w:lineRule="auto"/>
        <w:jc w:val="both"/>
        <w:rPr>
          <w:rFonts w:ascii="Calibri" w:cs="Calibri" w:eastAsia="Calibri" w:hAnsi="Calibri"/>
        </w:rPr>
      </w:pPr>
      <w:r w:rsidDel="00000000" w:rsidR="00000000" w:rsidRPr="00000000">
        <w:rPr>
          <w:rFonts w:ascii="Calibri" w:cs="Calibri" w:eastAsia="Calibri" w:hAnsi="Calibri"/>
          <w:b w:val="1"/>
          <w:bCs w:val="1"/>
          <w:color w:val="0d1f2d"/>
          <w:sz w:val="21"/>
          <w:szCs w:val="21"/>
          <w:rtl w:val="0"/>
        </w:rPr>
        <w:t xml:space="preserve">I.   </w:t>
      </w:r>
      <w:r w:rsidDel="00000000" w:rsidR="00000000" w:rsidRPr="00000000">
        <w:rPr>
          <w:rFonts w:ascii="Calibri" w:cs="Calibri" w:eastAsia="Calibri" w:hAnsi="Calibri"/>
          <w:rtl w:val="0"/>
        </w:rPr>
        <w:t xml:space="preserve">AUREA</w:t>
      </w:r>
      <w:r w:rsidDel="00000000" w:rsidR="00000000" w:rsidRPr="00000000">
        <w:rPr>
          <w:rFonts w:ascii="Calibri" w:cs="Calibri" w:eastAsia="Calibri" w:hAnsi="Calibri"/>
          <w:color w:val="0d1f2d"/>
          <w:sz w:val="21"/>
          <w:szCs w:val="21"/>
          <w:rtl w:val="0"/>
        </w:rPr>
        <w:t xml:space="preserve"> HUB es una empresa en proceso de constitución formal, que opera como Master Partner Oficial de Prometheo CRM y brinda servicios de consultoría e implementación de soluciones tecnológicas con inteligencia artificial para el proceso comercial de empresas pequeñas y medianas (PyMEs) en Latinoamérica.</w:t>
      </w:r>
      <w:r w:rsidDel="00000000" w:rsidR="00000000" w:rsidRPr="00000000">
        <w:rPr>
          <w:rtl w:val="0"/>
        </w:rPr>
      </w:r>
    </w:p>
    <w:p w:rsidR="00000000" w:rsidDel="00000000" w:rsidP="00000000" w:rsidRDefault="00000000" w:rsidRPr="00000000" w14:paraId="00000031">
      <w:pPr>
        <w:spacing w:after="140" w:line="280" w:lineRule="auto"/>
        <w:jc w:val="both"/>
        <w:rPr>
          <w:rFonts w:ascii="Calibri" w:cs="Calibri" w:eastAsia="Calibri" w:hAnsi="Calibri"/>
        </w:rPr>
      </w:pPr>
      <w:r w:rsidDel="00000000" w:rsidR="00000000" w:rsidRPr="00000000">
        <w:rPr>
          <w:rFonts w:ascii="Calibri" w:cs="Calibri" w:eastAsia="Calibri" w:hAnsi="Calibri"/>
          <w:b w:val="1"/>
          <w:bCs w:val="1"/>
          <w:color w:val="0d1f2d"/>
          <w:sz w:val="21"/>
          <w:szCs w:val="21"/>
          <w:rtl w:val="0"/>
        </w:rPr>
        <w:t xml:space="preserve">II.  </w:t>
      </w:r>
      <w:r w:rsidDel="00000000" w:rsidR="00000000" w:rsidRPr="00000000">
        <w:rPr>
          <w:rFonts w:ascii="Calibri" w:cs="Calibri" w:eastAsia="Calibri" w:hAnsi="Calibri"/>
          <w:color w:val="0d1f2d"/>
          <w:sz w:val="21"/>
          <w:szCs w:val="21"/>
          <w:rtl w:val="0"/>
        </w:rPr>
        <w:t xml:space="preserve">Que el Cliente ha contratado los servicios de consultoría e implementación de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para el diseño e implementación de un agente de inteligencia artificial y CRM orientado a la gestión comercial de sus proyectos inmobiliarios, en el marco de los cuales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accederá a información sensible del negocio del Cliente, incluyendo sus procesos comerciales, datos de leads, estrategia de lanzamientos y operaciones internas.</w:t>
      </w:r>
      <w:r w:rsidDel="00000000" w:rsidR="00000000" w:rsidRPr="00000000">
        <w:rPr>
          <w:rtl w:val="0"/>
        </w:rPr>
      </w:r>
    </w:p>
    <w:p w:rsidR="00000000" w:rsidDel="00000000" w:rsidP="00000000" w:rsidRDefault="00000000" w:rsidRPr="00000000" w14:paraId="00000032">
      <w:pPr>
        <w:spacing w:after="140" w:line="280" w:lineRule="auto"/>
        <w:jc w:val="both"/>
        <w:rPr>
          <w:rFonts w:ascii="Calibri" w:cs="Calibri" w:eastAsia="Calibri" w:hAnsi="Calibri"/>
        </w:rPr>
      </w:pPr>
      <w:r w:rsidDel="00000000" w:rsidR="00000000" w:rsidRPr="00000000">
        <w:rPr>
          <w:rFonts w:ascii="Calibri" w:cs="Calibri" w:eastAsia="Calibri" w:hAnsi="Calibri"/>
          <w:b w:val="1"/>
          <w:bCs w:val="1"/>
          <w:color w:val="0d1f2d"/>
          <w:sz w:val="21"/>
          <w:szCs w:val="21"/>
          <w:rtl w:val="0"/>
        </w:rPr>
        <w:t xml:space="preserve">III. </w:t>
      </w:r>
      <w:r w:rsidDel="00000000" w:rsidR="00000000" w:rsidRPr="00000000">
        <w:rPr>
          <w:rFonts w:ascii="Calibri" w:cs="Calibri" w:eastAsia="Calibri" w:hAnsi="Calibri"/>
          <w:color w:val="0d1f2d"/>
          <w:sz w:val="21"/>
          <w:szCs w:val="21"/>
          <w:rtl w:val="0"/>
        </w:rPr>
        <w:t xml:space="preserve">Que en virtud de dicho vínculo, el Cliente también tendrá acceso a la metodología propietaria de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sus configuraciones de Prometheo CRM, flujos conversacionales, SmartTags y know-how específico, cuya divulgación no autorizada habilitará a la Parte afectada a ejercer las acciones previstas en el presente Acuerdo y las contempladas en el ordenamiento jurídico vigente.</w:t>
      </w:r>
      <w:r w:rsidDel="00000000" w:rsidR="00000000" w:rsidRPr="00000000">
        <w:rPr>
          <w:rtl w:val="0"/>
        </w:rPr>
      </w:r>
    </w:p>
    <w:p w:rsidR="00000000" w:rsidDel="00000000" w:rsidP="00000000" w:rsidRDefault="00000000" w:rsidRPr="00000000" w14:paraId="00000033">
      <w:pPr>
        <w:spacing w:after="140" w:line="280" w:lineRule="auto"/>
        <w:jc w:val="both"/>
        <w:rPr>
          <w:rFonts w:ascii="Calibri" w:cs="Calibri" w:eastAsia="Calibri" w:hAnsi="Calibri"/>
        </w:rPr>
      </w:pPr>
      <w:r w:rsidDel="00000000" w:rsidR="00000000" w:rsidRPr="00000000">
        <w:rPr>
          <w:rFonts w:ascii="Calibri" w:cs="Calibri" w:eastAsia="Calibri" w:hAnsi="Calibri"/>
          <w:b w:val="1"/>
          <w:bCs w:val="1"/>
          <w:color w:val="0d1f2d"/>
          <w:sz w:val="21"/>
          <w:szCs w:val="21"/>
          <w:rtl w:val="0"/>
        </w:rPr>
        <w:t xml:space="preserve">IV.  </w:t>
      </w:r>
      <w:r w:rsidDel="00000000" w:rsidR="00000000" w:rsidRPr="00000000">
        <w:rPr>
          <w:rFonts w:ascii="Calibri" w:cs="Calibri" w:eastAsia="Calibri" w:hAnsi="Calibri"/>
          <w:color w:val="0d1f2d"/>
          <w:sz w:val="21"/>
          <w:szCs w:val="21"/>
          <w:rtl w:val="0"/>
        </w:rPr>
        <w:t xml:space="preserve">Que las Partes acuerdan regular el tratamiento y protección de dicha información mediante el presente Acuerdo, como condición previa al inicio de la prestación de servicios.</w:t>
      </w:r>
      <w:r w:rsidDel="00000000" w:rsidR="00000000" w:rsidRPr="00000000">
        <w:rPr>
          <w:rtl w:val="0"/>
        </w:rPr>
      </w:r>
    </w:p>
    <w:p w:rsidR="00000000" w:rsidDel="00000000" w:rsidP="00000000" w:rsidRDefault="00000000" w:rsidRPr="00000000" w14:paraId="00000034">
      <w:pPr>
        <w:spacing w:after="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En virtud de los considerandos expuestos, las Partes acuerdan el siguiente:</w:t>
      </w:r>
      <w:r w:rsidDel="00000000" w:rsidR="00000000" w:rsidRPr="00000000">
        <w:rPr>
          <w:rtl w:val="0"/>
        </w:rPr>
      </w:r>
    </w:p>
    <w:p w:rsidR="00000000" w:rsidDel="00000000" w:rsidP="00000000" w:rsidRDefault="00000000" w:rsidRPr="00000000" w14:paraId="00000036">
      <w:pPr>
        <w:spacing w:after="40" w:lineRule="auto"/>
        <w:rPr>
          <w:rFonts w:ascii="Calibri" w:cs="Calibri" w:eastAsia="Calibri" w:hAnsi="Calibri"/>
          <w:color w:val="9900ff"/>
        </w:rPr>
      </w:pPr>
      <w:r w:rsidDel="00000000" w:rsidR="00000000" w:rsidRPr="00000000">
        <w:rPr>
          <w:rtl w:val="0"/>
        </w:rPr>
      </w:r>
    </w:p>
    <w:p w:rsidR="00000000" w:rsidDel="00000000" w:rsidP="00000000" w:rsidRDefault="00000000" w:rsidRPr="00000000" w14:paraId="00000037">
      <w:pPr>
        <w:spacing w:after="80" w:before="80" w:lineRule="auto"/>
        <w:jc w:val="center"/>
        <w:rPr>
          <w:rFonts w:ascii="Calibri" w:cs="Calibri" w:eastAsia="Calibri" w:hAnsi="Calibri"/>
          <w:color w:val="9900ff"/>
        </w:rPr>
      </w:pPr>
      <w:r w:rsidDel="00000000" w:rsidR="00000000" w:rsidRPr="00000000">
        <w:rPr>
          <w:rFonts w:ascii="Calibri" w:cs="Calibri" w:eastAsia="Calibri" w:hAnsi="Calibri"/>
          <w:b w:val="1"/>
          <w:bCs w:val="1"/>
          <w:color w:val="9900ff"/>
          <w:sz w:val="24"/>
          <w:szCs w:val="24"/>
          <w:rtl w:val="0"/>
        </w:rPr>
        <w:t xml:space="preserve">ACUERDO DE CONFIDENCIALIDAD Y NO DIVULGACIÓN</w:t>
      </w:r>
      <w:r w:rsidDel="00000000" w:rsidR="00000000" w:rsidRPr="00000000">
        <w:rPr>
          <w:rtl w:val="0"/>
        </w:rPr>
      </w:r>
    </w:p>
    <w:p w:rsidR="00000000" w:rsidDel="00000000" w:rsidP="00000000" w:rsidRDefault="00000000" w:rsidRPr="00000000" w14:paraId="00000038">
      <w:pPr>
        <w:pBdr>
          <w:bottom w:color="1a6a72" w:space="1" w:sz="6" w:val="single"/>
        </w:pBd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PRIMERA. OBJETO DEL ACUERDO</w:t>
      </w:r>
      <w:r w:rsidDel="00000000" w:rsidR="00000000" w:rsidRPr="00000000">
        <w:rPr>
          <w:rtl w:val="0"/>
        </w:rPr>
      </w:r>
    </w:p>
    <w:p w:rsidR="00000000" w:rsidDel="00000000" w:rsidP="00000000" w:rsidRDefault="00000000" w:rsidRPr="00000000" w14:paraId="0000003B">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El presente Acuerdo tiene por objeto establecer las obligaciones recíprocas de confidencialidad entre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y el Cliente, con motivo del servicio de consultoría e implementación de Prometheo CRM que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prestará al Cliente.</w:t>
      </w:r>
      <w:r w:rsidDel="00000000" w:rsidR="00000000" w:rsidRPr="00000000">
        <w:rPr>
          <w:rtl w:val="0"/>
        </w:rPr>
      </w:r>
    </w:p>
    <w:p w:rsidR="00000000" w:rsidDel="00000000" w:rsidP="00000000" w:rsidRDefault="00000000" w:rsidRPr="00000000" w14:paraId="0000003C">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El Acuerdo aplica desde la fecha de su firma y cubre todas las etapas del servicio: diagnóstico inicial, diseño de flujos conversacionales, configuración e integración de Prometheo CRM, onboarding del equipo del Cliente y monitoreo continuo.</w:t>
      </w:r>
      <w:r w:rsidDel="00000000" w:rsidR="00000000" w:rsidRPr="00000000">
        <w:rPr>
          <w:rtl w:val="0"/>
        </w:rPr>
      </w:r>
    </w:p>
    <w:p w:rsidR="00000000" w:rsidDel="00000000" w:rsidP="00000000" w:rsidRDefault="00000000" w:rsidRPr="00000000" w14:paraId="0000003D">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SEGUNDA.. DEFINICIÓN DE INFORMACIÓN CONFIDENCIAL</w:t>
      </w:r>
      <w:r w:rsidDel="00000000" w:rsidR="00000000" w:rsidRPr="00000000">
        <w:rPr>
          <w:rtl w:val="0"/>
        </w:rPr>
      </w:r>
    </w:p>
    <w:p w:rsidR="00000000" w:rsidDel="00000000" w:rsidP="00000000" w:rsidRDefault="00000000" w:rsidRPr="00000000" w14:paraId="0000003E">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A los efectos del presente Acuerdo, se entenderá por "Información Confidencial" toda información, dato, material o conocimiento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d1f2d"/>
          <w:sz w:val="21"/>
          <w:szCs w:val="21"/>
          <w:rtl w:val="0"/>
        </w:rPr>
        <w:t xml:space="preserve">en cualquier formato o soporte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d1f2d"/>
          <w:sz w:val="21"/>
          <w:szCs w:val="21"/>
          <w:rtl w:val="0"/>
        </w:rPr>
        <w:t xml:space="preserve">que una Parte divulgue a la otra en el marco del servicio, incluyendo de manera enunciativa y no taxativa:</w:t>
      </w:r>
      <w:r w:rsidDel="00000000" w:rsidR="00000000" w:rsidRPr="00000000">
        <w:rPr>
          <w:rtl w:val="0"/>
        </w:rPr>
      </w:r>
    </w:p>
    <w:p w:rsidR="00000000" w:rsidDel="00000000" w:rsidP="00000000" w:rsidRDefault="00000000" w:rsidRPr="00000000" w14:paraId="0000003F">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8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1"/>
          <w:szCs w:val="21"/>
          <w:rtl w:val="0"/>
        </w:rPr>
        <w:t xml:space="preserve">Constituye Información Confidencial de </w:t>
      </w:r>
      <w:r w:rsidDel="00000000" w:rsidR="00000000" w:rsidRPr="00000000">
        <w:rPr>
          <w:rFonts w:ascii="Calibri" w:cs="Calibri" w:eastAsia="Calibri" w:hAnsi="Calibri"/>
          <w:b w:val="1"/>
          <w:bCs w:val="1"/>
          <w:color w:val="9900ff"/>
          <w:rtl w:val="0"/>
        </w:rPr>
        <w:t xml:space="preserve">A</w:t>
      </w:r>
      <w:r w:rsidDel="00000000" w:rsidR="00000000" w:rsidRPr="00000000">
        <w:rPr>
          <w:rFonts w:ascii="Calibri" w:cs="Calibri" w:eastAsia="Calibri" w:hAnsi="Calibri"/>
          <w:b w:val="1"/>
          <w:bCs w:val="1"/>
          <w:color w:val="9900ff"/>
          <w:sz w:val="21"/>
          <w:szCs w:val="21"/>
          <w:rtl w:val="0"/>
        </w:rPr>
        <w:t xml:space="preserve">UREA HUB:</w:t>
      </w:r>
      <w:r w:rsidDel="00000000" w:rsidR="00000000" w:rsidRPr="00000000">
        <w:rPr>
          <w:rtl w:val="0"/>
        </w:rPr>
      </w:r>
    </w:p>
    <w:p w:rsidR="00000000" w:rsidDel="00000000" w:rsidP="00000000" w:rsidRDefault="00000000" w:rsidRPr="00000000" w14:paraId="00000041">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a) </w:t>
      </w:r>
      <w:r w:rsidDel="00000000" w:rsidR="00000000" w:rsidRPr="00000000">
        <w:rPr>
          <w:rFonts w:ascii="Calibri" w:cs="Calibri" w:eastAsia="Calibri" w:hAnsi="Calibri"/>
          <w:color w:val="0d1f2d"/>
          <w:sz w:val="21"/>
          <w:szCs w:val="21"/>
          <w:rtl w:val="0"/>
        </w:rPr>
        <w:t xml:space="preserve">La metodología propietaria de implementación de Prometheo CRM, incluyendo flujos de trabajo, playbooks, guías operativas y criterios de diseño conversacional.</w:t>
      </w:r>
      <w:r w:rsidDel="00000000" w:rsidR="00000000" w:rsidRPr="00000000">
        <w:rPr>
          <w:rtl w:val="0"/>
        </w:rPr>
      </w:r>
    </w:p>
    <w:p w:rsidR="00000000" w:rsidDel="00000000" w:rsidP="00000000" w:rsidRDefault="00000000" w:rsidRPr="00000000" w14:paraId="00000042">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b)</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Las configuraciones, integraciones, automatizaciones, prompts, flujos conversacionales y Smart Tags desarrolladas por AUREA HUB para la plataforma Prometheo CRM.</w:t>
      </w:r>
      <w:r w:rsidDel="00000000" w:rsidR="00000000" w:rsidRPr="00000000">
        <w:rPr>
          <w:rtl w:val="0"/>
        </w:rPr>
      </w:r>
    </w:p>
    <w:p w:rsidR="00000000" w:rsidDel="00000000" w:rsidP="00000000" w:rsidRDefault="00000000" w:rsidRPr="00000000" w14:paraId="00000043">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c)</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La estrategia comercial, modelo de negocio, estructura de pricing y condiciones de los acuerdos con terceros y partners.</w:t>
      </w:r>
      <w:r w:rsidDel="00000000" w:rsidR="00000000" w:rsidRPr="00000000">
        <w:rPr>
          <w:rtl w:val="0"/>
        </w:rPr>
      </w:r>
    </w:p>
    <w:p w:rsidR="00000000" w:rsidDel="00000000" w:rsidP="00000000" w:rsidRDefault="00000000" w:rsidRPr="00000000" w14:paraId="00000044">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d)</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El know-how y cualquier otro activo intangible propio de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w:t>
      </w:r>
      <w:r w:rsidDel="00000000" w:rsidR="00000000" w:rsidRPr="00000000">
        <w:rPr>
          <w:rtl w:val="0"/>
        </w:rPr>
      </w:r>
    </w:p>
    <w:p w:rsidR="00000000" w:rsidDel="00000000" w:rsidP="00000000" w:rsidRDefault="00000000" w:rsidRPr="00000000" w14:paraId="00000045">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8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1"/>
          <w:szCs w:val="21"/>
          <w:rtl w:val="0"/>
        </w:rPr>
        <w:t xml:space="preserve">Constituye Información Confidencial del Cliente (</w:t>
      </w:r>
      <w:r w:rsidDel="00000000" w:rsidR="00000000" w:rsidRPr="00000000">
        <w:rPr>
          <w:rFonts w:ascii="Calibri" w:cs="Calibri" w:eastAsia="Calibri" w:hAnsi="Calibri"/>
          <w:b w:val="1"/>
          <w:bCs w:val="1"/>
          <w:color w:val="9900ff"/>
          <w:rtl w:val="0"/>
        </w:rPr>
        <w:t xml:space="preserve">EDFAN</w:t>
      </w:r>
      <w:r w:rsidDel="00000000" w:rsidR="00000000" w:rsidRPr="00000000">
        <w:rPr>
          <w:rFonts w:ascii="Calibri" w:cs="Calibri" w:eastAsia="Calibri" w:hAnsi="Calibri"/>
          <w:b w:val="1"/>
          <w:bCs w:val="1"/>
          <w:color w:val="9900ff"/>
          <w:sz w:val="21"/>
          <w:szCs w:val="21"/>
          <w:rtl w:val="0"/>
        </w:rPr>
        <w:t xml:space="preserve">):</w:t>
      </w:r>
      <w:r w:rsidDel="00000000" w:rsidR="00000000" w:rsidRPr="00000000">
        <w:rPr>
          <w:rtl w:val="0"/>
        </w:rPr>
      </w:r>
    </w:p>
    <w:p w:rsidR="00000000" w:rsidDel="00000000" w:rsidP="00000000" w:rsidRDefault="00000000" w:rsidRPr="00000000" w14:paraId="00000047">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e)</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Los datos de proyectos inmobiliarios en desarrollo, incluyendo unidades, precios, cronogramas, estados de obra y estrategia de lanzamiento.</w:t>
      </w:r>
      <w:r w:rsidDel="00000000" w:rsidR="00000000" w:rsidRPr="00000000">
        <w:rPr>
          <w:rtl w:val="0"/>
        </w:rPr>
      </w:r>
    </w:p>
    <w:p w:rsidR="00000000" w:rsidDel="00000000" w:rsidP="00000000" w:rsidRDefault="00000000" w:rsidRPr="00000000" w14:paraId="00000048">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f)</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Los datos de leads, prospectos y compradores gestionados a través de Prometheo CRM, incluyendo historial de interacciones, etapas del embudo y datos personales.</w:t>
      </w:r>
      <w:r w:rsidDel="00000000" w:rsidR="00000000" w:rsidRPr="00000000">
        <w:rPr>
          <w:rtl w:val="0"/>
        </w:rPr>
      </w:r>
    </w:p>
    <w:p w:rsidR="00000000" w:rsidDel="00000000" w:rsidP="00000000" w:rsidRDefault="00000000" w:rsidRPr="00000000" w14:paraId="00000049">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g)</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Los procesos de venta, flujos comerciales internos, scripts, guías y estrategia comercial.</w:t>
      </w:r>
      <w:r w:rsidDel="00000000" w:rsidR="00000000" w:rsidRPr="00000000">
        <w:rPr>
          <w:rtl w:val="0"/>
        </w:rPr>
      </w:r>
    </w:p>
    <w:p w:rsidR="00000000" w:rsidDel="00000000" w:rsidP="00000000" w:rsidRDefault="00000000" w:rsidRPr="00000000" w14:paraId="0000004A">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h)</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La información financiera, condiciones comerciales, márgenes y presupuestos internos.</w:t>
      </w:r>
      <w:r w:rsidDel="00000000" w:rsidR="00000000" w:rsidRPr="00000000">
        <w:rPr>
          <w:rtl w:val="0"/>
        </w:rPr>
      </w:r>
    </w:p>
    <w:p w:rsidR="00000000" w:rsidDel="00000000" w:rsidP="00000000" w:rsidRDefault="00000000" w:rsidRPr="00000000" w14:paraId="0000004B">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i)</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La estructura organizacional, roles del equipo comercial y cualquier información operativa interna.</w:t>
      </w:r>
      <w:r w:rsidDel="00000000" w:rsidR="00000000" w:rsidRPr="00000000">
        <w:rPr>
          <w:rtl w:val="0"/>
        </w:rPr>
      </w:r>
    </w:p>
    <w:p w:rsidR="00000000" w:rsidDel="00000000" w:rsidP="00000000" w:rsidRDefault="00000000" w:rsidRPr="00000000" w14:paraId="0000004C">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j) </w:t>
      </w:r>
      <w:r w:rsidDel="00000000" w:rsidR="00000000" w:rsidRPr="00000000">
        <w:rPr>
          <w:rFonts w:ascii="Calibri" w:cs="Calibri" w:eastAsia="Calibri" w:hAnsi="Calibri"/>
          <w:color w:val="0d1f2d"/>
          <w:sz w:val="21"/>
          <w:szCs w:val="21"/>
          <w:rtl w:val="0"/>
        </w:rPr>
        <w:t xml:space="preserve">Cualquier otra información que por su naturaleza o contexto sea razonablemente interpretable como confidencial.</w:t>
      </w:r>
      <w:r w:rsidDel="00000000" w:rsidR="00000000" w:rsidRPr="00000000">
        <w:rPr>
          <w:rtl w:val="0"/>
        </w:rPr>
      </w:r>
    </w:p>
    <w:p w:rsidR="00000000" w:rsidDel="00000000" w:rsidP="00000000" w:rsidRDefault="00000000" w:rsidRPr="00000000" w14:paraId="0000004D">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TERCERA. OBLIGACIONES RECÍPROCAS DE CONFIDENCIALIDAD</w:t>
      </w:r>
      <w:r w:rsidDel="00000000" w:rsidR="00000000" w:rsidRPr="00000000">
        <w:rPr>
          <w:rtl w:val="0"/>
        </w:rPr>
      </w:r>
    </w:p>
    <w:p w:rsidR="00000000" w:rsidDel="00000000" w:rsidP="00000000" w:rsidRDefault="00000000" w:rsidRPr="00000000" w14:paraId="0000004E">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Cada Parte, en su calidad de receptora de la Información Confidencial de la otra, se obliga a:</w:t>
      </w:r>
      <w:r w:rsidDel="00000000" w:rsidR="00000000" w:rsidRPr="00000000">
        <w:rPr>
          <w:rtl w:val="0"/>
        </w:rPr>
      </w:r>
    </w:p>
    <w:p w:rsidR="00000000" w:rsidDel="00000000" w:rsidP="00000000" w:rsidRDefault="00000000" w:rsidRPr="00000000" w14:paraId="0000004F">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a)</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Mantener estricta reserva sobre toda Información Confidencial recibida, en cualquier formato o canal.</w:t>
      </w:r>
      <w:r w:rsidDel="00000000" w:rsidR="00000000" w:rsidRPr="00000000">
        <w:rPr>
          <w:rtl w:val="0"/>
        </w:rPr>
      </w:r>
    </w:p>
    <w:p w:rsidR="00000000" w:rsidDel="00000000" w:rsidP="00000000" w:rsidRDefault="00000000" w:rsidRPr="00000000" w14:paraId="00000050">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b)</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No divulgar, reproducir, transmitir ni poner a disposición de terceros la Información Confidencial recibida, sin el consentimiento previo y escrito de la Parte divulgante.</w:t>
      </w:r>
      <w:r w:rsidDel="00000000" w:rsidR="00000000" w:rsidRPr="00000000">
        <w:rPr>
          <w:rtl w:val="0"/>
        </w:rPr>
      </w:r>
    </w:p>
    <w:p w:rsidR="00000000" w:rsidDel="00000000" w:rsidP="00000000" w:rsidRDefault="00000000" w:rsidRPr="00000000" w14:paraId="00000051">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c)</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Utilizar la Información Confidencial exclusivamente para los fines del servicio de consultoría e implementación descripto en la Cláusula Primera.</w:t>
      </w:r>
      <w:r w:rsidDel="00000000" w:rsidR="00000000" w:rsidRPr="00000000">
        <w:rPr>
          <w:rtl w:val="0"/>
        </w:rPr>
      </w:r>
    </w:p>
    <w:p w:rsidR="00000000" w:rsidDel="00000000" w:rsidP="00000000" w:rsidRDefault="00000000" w:rsidRPr="00000000" w14:paraId="00000052">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d)</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Limitar el acceso interno a la Información Confidencial únicamente a las personas que lo requieran para el cumplimiento de las actividades previstas, instruyéndolas sobre su carácter confidencial.</w:t>
      </w:r>
      <w:r w:rsidDel="00000000" w:rsidR="00000000" w:rsidRPr="00000000">
        <w:rPr>
          <w:rtl w:val="0"/>
        </w:rPr>
      </w:r>
    </w:p>
    <w:p w:rsidR="00000000" w:rsidDel="00000000" w:rsidP="00000000" w:rsidRDefault="00000000" w:rsidRPr="00000000" w14:paraId="00000053">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e)</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Adoptar medidas de seguridad razonables para proteger la Información Confidencial de accesos no autorizados, pérdida o uso indebido.</w:t>
      </w:r>
      <w:r w:rsidDel="00000000" w:rsidR="00000000" w:rsidRPr="00000000">
        <w:rPr>
          <w:rtl w:val="0"/>
        </w:rPr>
      </w:r>
    </w:p>
    <w:p w:rsidR="00000000" w:rsidDel="00000000" w:rsidP="00000000" w:rsidRDefault="00000000" w:rsidRPr="00000000" w14:paraId="00000054">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f)</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Notificar de manera inmediata a la Parte divulgante ante cualquier incidente, filtración o acceso no autorizado que afecte su Información Confidencial.</w:t>
      </w:r>
      <w:r w:rsidDel="00000000" w:rsidR="00000000" w:rsidRPr="00000000">
        <w:rPr>
          <w:rtl w:val="0"/>
        </w:rPr>
      </w:r>
    </w:p>
    <w:p w:rsidR="00000000" w:rsidDel="00000000" w:rsidP="00000000" w:rsidRDefault="00000000" w:rsidRPr="00000000" w14:paraId="00000055">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CUARTA.  EXCEPCIONES A LA CONFIDENCIALIDAD</w:t>
      </w:r>
      <w:r w:rsidDel="00000000" w:rsidR="00000000" w:rsidRPr="00000000">
        <w:rPr>
          <w:rtl w:val="0"/>
        </w:rPr>
      </w:r>
    </w:p>
    <w:p w:rsidR="00000000" w:rsidDel="00000000" w:rsidP="00000000" w:rsidRDefault="00000000" w:rsidRPr="00000000" w14:paraId="00000056">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Las obligaciones del presente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cuerdo no aplican respecto de información que la Parte receptora pueda acreditar fehacientemente que:</w:t>
      </w:r>
      <w:r w:rsidDel="00000000" w:rsidR="00000000" w:rsidRPr="00000000">
        <w:rPr>
          <w:rtl w:val="0"/>
        </w:rPr>
      </w:r>
    </w:p>
    <w:p w:rsidR="00000000" w:rsidDel="00000000" w:rsidP="00000000" w:rsidRDefault="00000000" w:rsidRPr="00000000" w14:paraId="00000057">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a)</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Era de dominio público al momento de su divulgación, o lo devino con posterioridad por causas ajenas a la Parte receptora.</w:t>
      </w:r>
      <w:r w:rsidDel="00000000" w:rsidR="00000000" w:rsidRPr="00000000">
        <w:rPr>
          <w:rtl w:val="0"/>
        </w:rPr>
      </w:r>
    </w:p>
    <w:p w:rsidR="00000000" w:rsidDel="00000000" w:rsidP="00000000" w:rsidRDefault="00000000" w:rsidRPr="00000000" w14:paraId="00000058">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b)</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Fue recibida legítimamente de un tercero habilitado para divulgarla.</w:t>
      </w:r>
      <w:r w:rsidDel="00000000" w:rsidR="00000000" w:rsidRPr="00000000">
        <w:rPr>
          <w:rtl w:val="0"/>
        </w:rPr>
      </w:r>
    </w:p>
    <w:p w:rsidR="00000000" w:rsidDel="00000000" w:rsidP="00000000" w:rsidRDefault="00000000" w:rsidRPr="00000000" w14:paraId="00000059">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c)</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Era conocida por la Parte receptora con anterioridad a su divulgación, de manera documentable e independiente.</w:t>
      </w:r>
      <w:r w:rsidDel="00000000" w:rsidR="00000000" w:rsidRPr="00000000">
        <w:rPr>
          <w:rtl w:val="0"/>
        </w:rPr>
      </w:r>
    </w:p>
    <w:p w:rsidR="00000000" w:rsidDel="00000000" w:rsidP="00000000" w:rsidRDefault="00000000" w:rsidRPr="00000000" w14:paraId="0000005A">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d)</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Deba ser revelada por imperativo legal o judicial, debiendo notificarse a la otra Parte de forma inmediata para que pueda adoptar las medidas de protección pertinentes.</w:t>
      </w:r>
      <w:r w:rsidDel="00000000" w:rsidR="00000000" w:rsidRPr="00000000">
        <w:rPr>
          <w:rtl w:val="0"/>
        </w:rPr>
      </w:r>
    </w:p>
    <w:p w:rsidR="00000000" w:rsidDel="00000000" w:rsidP="00000000" w:rsidRDefault="00000000" w:rsidRPr="00000000" w14:paraId="0000005B">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QUINTA. PROTECCIÓN DE DATOS PERSONALES</w:t>
      </w:r>
      <w:r w:rsidDel="00000000" w:rsidR="00000000" w:rsidRPr="00000000">
        <w:rPr>
          <w:rtl w:val="0"/>
        </w:rPr>
      </w:r>
    </w:p>
    <w:p w:rsidR="00000000" w:rsidDel="00000000" w:rsidP="00000000" w:rsidRDefault="00000000" w:rsidRPr="00000000" w14:paraId="0000005C">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En el marco del servicio,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accederá a bases de datos que podrán contener datos personales de clientes, prospectos y colaboradores del Cliente. Las Partes acuerdan lo siguiente:</w:t>
      </w:r>
      <w:r w:rsidDel="00000000" w:rsidR="00000000" w:rsidRPr="00000000">
        <w:rPr>
          <w:rtl w:val="0"/>
        </w:rPr>
      </w:r>
    </w:p>
    <w:p w:rsidR="00000000" w:rsidDel="00000000" w:rsidP="00000000" w:rsidRDefault="00000000" w:rsidRPr="00000000" w14:paraId="0000005D">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a)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actuará en calidad de encargada del tratamiento respecto de los datos personales del Cliente, conforme la Ley 25.326 de Protección de los Datos Personales y sus normas reglamentarias.</w:t>
      </w:r>
      <w:r w:rsidDel="00000000" w:rsidR="00000000" w:rsidRPr="00000000">
        <w:rPr>
          <w:rtl w:val="0"/>
        </w:rPr>
      </w:r>
    </w:p>
    <w:p w:rsidR="00000000" w:rsidDel="00000000" w:rsidP="00000000" w:rsidRDefault="00000000" w:rsidRPr="00000000" w14:paraId="0000005E">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b)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tratará dichos datos exclusivamente para los fines del servicio contratado, sin cederlos, comercializarlos ni utilizarlos para ningún otro propósito.</w:t>
      </w:r>
      <w:r w:rsidDel="00000000" w:rsidR="00000000" w:rsidRPr="00000000">
        <w:rPr>
          <w:rtl w:val="0"/>
        </w:rPr>
      </w:r>
    </w:p>
    <w:p w:rsidR="00000000" w:rsidDel="00000000" w:rsidP="00000000" w:rsidRDefault="00000000" w:rsidRPr="00000000" w14:paraId="0000005F">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c)</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El Cliente declara ser el responsable del tratamiento de los datos personales compartidos y garantiza haberlos recabado en forma lícita y conforme a la normativa vigente.</w:t>
      </w:r>
      <w:r w:rsidDel="00000000" w:rsidR="00000000" w:rsidRPr="00000000">
        <w:rPr>
          <w:rtl w:val="0"/>
        </w:rPr>
      </w:r>
    </w:p>
    <w:p w:rsidR="00000000" w:rsidDel="00000000" w:rsidP="00000000" w:rsidRDefault="00000000" w:rsidRPr="00000000" w14:paraId="00000060">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d) </w:t>
      </w:r>
      <w:r w:rsidDel="00000000" w:rsidR="00000000" w:rsidRPr="00000000">
        <w:rPr>
          <w:rFonts w:ascii="Calibri" w:cs="Calibri" w:eastAsia="Calibri" w:hAnsi="Calibri"/>
          <w:color w:val="0d1f2d"/>
          <w:sz w:val="21"/>
          <w:szCs w:val="21"/>
          <w:rtl w:val="0"/>
        </w:rPr>
        <w:t xml:space="preserve">Ambas Partes adoptarán las medidas técnicas y organizativas necesarias para garantizar la seguridad de los datos personales tratados en el marco del servicio.</w:t>
      </w:r>
      <w:r w:rsidDel="00000000" w:rsidR="00000000" w:rsidRPr="00000000">
        <w:rPr>
          <w:rtl w:val="0"/>
        </w:rPr>
      </w:r>
    </w:p>
    <w:p w:rsidR="00000000" w:rsidDel="00000000" w:rsidP="00000000" w:rsidRDefault="00000000" w:rsidRPr="00000000" w14:paraId="00000061">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e)</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A la finalización del vínculo,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devolverá o eliminará los datos personales del Cliente según lo que este indique, en un plazo máximo de TREINTA (30) días corridos.</w:t>
      </w:r>
      <w:r w:rsidDel="00000000" w:rsidR="00000000" w:rsidRPr="00000000">
        <w:rPr>
          <w:rtl w:val="0"/>
        </w:rPr>
      </w:r>
    </w:p>
    <w:p w:rsidR="00000000" w:rsidDel="00000000" w:rsidP="00000000" w:rsidRDefault="00000000" w:rsidRPr="00000000" w14:paraId="00000062">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SEXTA.  PROMETHEO CRM Y HERRAMIENTAS DE TERCEROS</w:t>
      </w:r>
      <w:r w:rsidDel="00000000" w:rsidR="00000000" w:rsidRPr="00000000">
        <w:rPr>
          <w:rtl w:val="0"/>
        </w:rPr>
      </w:r>
    </w:p>
    <w:p w:rsidR="00000000" w:rsidDel="00000000" w:rsidP="00000000" w:rsidRDefault="00000000" w:rsidRPr="00000000" w14:paraId="00000063">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Las Partes reconocen que la prestación del servicio implica el uso de Prometheo CRM y otras plataformas tecnológicas de terceros, incluyendo herramientas de inteligencia artificial, APIs y software en la nube.</w:t>
      </w:r>
      <w:r w:rsidDel="00000000" w:rsidR="00000000" w:rsidRPr="00000000">
        <w:rPr>
          <w:rtl w:val="0"/>
        </w:rPr>
      </w:r>
    </w:p>
    <w:p w:rsidR="00000000" w:rsidDel="00000000" w:rsidP="00000000" w:rsidRDefault="00000000" w:rsidRPr="00000000" w14:paraId="00000064">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a)</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El uso de Prometheo CRM se rige adicionalmente por los términos y condiciones de su proveedor, los cuales el Cliente declara conocer y aceptar al suscribir el presente Acuerdo.</w:t>
      </w:r>
      <w:r w:rsidDel="00000000" w:rsidR="00000000" w:rsidRPr="00000000">
        <w:rPr>
          <w:rtl w:val="0"/>
        </w:rPr>
      </w:r>
    </w:p>
    <w:p w:rsidR="00000000" w:rsidDel="00000000" w:rsidP="00000000" w:rsidRDefault="00000000" w:rsidRPr="00000000" w14:paraId="00000065">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b)</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no será responsable por fallas de seguridad, interrupciones del servicio o incidentes originados en las plataformas de terceros, siempre que hayan sido utilizadas de manera normal, diligente y de buena fe, en conformidad con las políticas de cada proveedor.</w:t>
      </w:r>
      <w:r w:rsidDel="00000000" w:rsidR="00000000" w:rsidRPr="00000000">
        <w:rPr>
          <w:rtl w:val="0"/>
        </w:rPr>
      </w:r>
    </w:p>
    <w:p w:rsidR="00000000" w:rsidDel="00000000" w:rsidP="00000000" w:rsidRDefault="00000000" w:rsidRPr="00000000" w14:paraId="00000066">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c)</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se compromete a no ingresar información confidencial del Cliente en plataformas públicas no verificadas o cuyas condiciones de uso impliquen el uso de datos para entrenar modelos de inteligencia artificial sin consentimiento.</w:t>
      </w:r>
      <w:r w:rsidDel="00000000" w:rsidR="00000000" w:rsidRPr="00000000">
        <w:rPr>
          <w:rtl w:val="0"/>
        </w:rPr>
      </w:r>
    </w:p>
    <w:p w:rsidR="00000000" w:rsidDel="00000000" w:rsidP="00000000" w:rsidRDefault="00000000" w:rsidRPr="00000000" w14:paraId="00000067">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d)</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El Cliente seguirá las indicaciones de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en materia de seguridad y buenas prácticas para el uso de las herramientas implementadas.</w:t>
      </w:r>
      <w:r w:rsidDel="00000000" w:rsidR="00000000" w:rsidRPr="00000000">
        <w:rPr>
          <w:rtl w:val="0"/>
        </w:rPr>
      </w:r>
    </w:p>
    <w:p w:rsidR="00000000" w:rsidDel="00000000" w:rsidP="00000000" w:rsidRDefault="00000000" w:rsidRPr="00000000" w14:paraId="00000068">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SÉPTIMA. PROPIEDAD INTELECTUAL</w:t>
      </w:r>
      <w:r w:rsidDel="00000000" w:rsidR="00000000" w:rsidRPr="00000000">
        <w:rPr>
          <w:rtl w:val="0"/>
        </w:rPr>
      </w:r>
    </w:p>
    <w:p w:rsidR="00000000" w:rsidDel="00000000" w:rsidP="00000000" w:rsidRDefault="00000000" w:rsidRPr="00000000" w14:paraId="00000069">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Cada Parte conserva la propiedad exclusiva sobre sus respectivos activos de propiedad intelectual preexistentes al presente Acuerdo.</w:t>
      </w:r>
      <w:r w:rsidDel="00000000" w:rsidR="00000000" w:rsidRPr="00000000">
        <w:rPr>
          <w:rtl w:val="0"/>
        </w:rPr>
      </w:r>
    </w:p>
    <w:p w:rsidR="00000000" w:rsidDel="00000000" w:rsidP="00000000" w:rsidRDefault="00000000" w:rsidRPr="00000000" w14:paraId="0000006A">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Las metodologías, playbooks, configuraciones, flujos conversacionales, Smart Tags y materiales desarrollados por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d1f2d"/>
          <w:sz w:val="21"/>
          <w:szCs w:val="21"/>
          <w:rtl w:val="0"/>
        </w:rPr>
        <w:t xml:space="preserve">UREA HUB en el marco del servicio son y continuarán siendo </w:t>
      </w:r>
      <w:r w:rsidDel="00000000" w:rsidR="00000000" w:rsidRPr="00000000">
        <w:rPr>
          <w:rFonts w:ascii="Calibri" w:cs="Calibri" w:eastAsia="Calibri" w:hAnsi="Calibri"/>
          <w:b w:val="1"/>
          <w:bCs w:val="1"/>
          <w:color w:val="0d1f2d"/>
          <w:sz w:val="21"/>
          <w:szCs w:val="21"/>
          <w:rtl w:val="0"/>
        </w:rPr>
        <w:t xml:space="preserve">propiedad exclusiva de </w:t>
      </w:r>
      <w:r w:rsidDel="00000000" w:rsidR="00000000" w:rsidRPr="00000000">
        <w:rPr>
          <w:rFonts w:ascii="Calibri" w:cs="Calibri" w:eastAsia="Calibri" w:hAnsi="Calibri"/>
          <w:b w:val="1"/>
          <w:bCs w:val="1"/>
          <w:rtl w:val="0"/>
        </w:rPr>
        <w:t xml:space="preserve">A</w:t>
      </w:r>
      <w:r w:rsidDel="00000000" w:rsidR="00000000" w:rsidRPr="00000000">
        <w:rPr>
          <w:rFonts w:ascii="Calibri" w:cs="Calibri" w:eastAsia="Calibri" w:hAnsi="Calibri"/>
          <w:b w:val="1"/>
          <w:bCs w:val="1"/>
          <w:color w:val="0d1f2d"/>
          <w:sz w:val="21"/>
          <w:szCs w:val="21"/>
          <w:rtl w:val="0"/>
        </w:rPr>
        <w:t xml:space="preserve">UREA HUB</w:t>
      </w:r>
      <w:r w:rsidDel="00000000" w:rsidR="00000000" w:rsidRPr="00000000">
        <w:rPr>
          <w:rFonts w:ascii="Calibri" w:cs="Calibri" w:eastAsia="Calibri" w:hAnsi="Calibri"/>
          <w:color w:val="0d1f2d"/>
          <w:sz w:val="21"/>
          <w:szCs w:val="21"/>
          <w:rtl w:val="0"/>
        </w:rPr>
        <w:t xml:space="preserve">. El Cliente podrá utilizarlos exclusivamente en el marco de la relación comercial vigente.</w:t>
      </w:r>
      <w:r w:rsidDel="00000000" w:rsidR="00000000" w:rsidRPr="00000000">
        <w:rPr>
          <w:rtl w:val="0"/>
        </w:rPr>
      </w:r>
    </w:p>
    <w:p w:rsidR="00000000" w:rsidDel="00000000" w:rsidP="00000000" w:rsidRDefault="00000000" w:rsidRPr="00000000" w14:paraId="0000006B">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Los datos, contenidos e información comercial del Cliente cargados en Prometheo CRM son y continuarán siendo propiedad exclusiva del Cliente.</w:t>
      </w:r>
      <w:r w:rsidDel="00000000" w:rsidR="00000000" w:rsidRPr="00000000">
        <w:rPr>
          <w:rtl w:val="0"/>
        </w:rPr>
      </w:r>
    </w:p>
    <w:p w:rsidR="00000000" w:rsidDel="00000000" w:rsidP="00000000" w:rsidRDefault="00000000" w:rsidRPr="00000000" w14:paraId="0000006C">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El presente Acuerdo no implica cesión, licencia ni otorgamiento de derechos de propiedad intelectual de ninguna Parte en favor de la otra.</w:t>
      </w:r>
      <w:r w:rsidDel="00000000" w:rsidR="00000000" w:rsidRPr="00000000">
        <w:rPr>
          <w:rtl w:val="0"/>
        </w:rPr>
      </w:r>
    </w:p>
    <w:p w:rsidR="00000000" w:rsidDel="00000000" w:rsidP="00000000" w:rsidRDefault="00000000" w:rsidRPr="00000000" w14:paraId="0000006D">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OCTAVA. VIGENCIA</w:t>
      </w:r>
      <w:r w:rsidDel="00000000" w:rsidR="00000000" w:rsidRPr="00000000">
        <w:rPr>
          <w:rtl w:val="0"/>
        </w:rPr>
      </w:r>
    </w:p>
    <w:p w:rsidR="00000000" w:rsidDel="00000000" w:rsidP="00000000" w:rsidRDefault="00000000" w:rsidRPr="00000000" w14:paraId="0000006E">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El presente Acuerdo entrará en vigor en la fecha de su firma y permanecerá vigente durante toda la relación comercial entre las Partes.</w:t>
      </w:r>
      <w:r w:rsidDel="00000000" w:rsidR="00000000" w:rsidRPr="00000000">
        <w:rPr>
          <w:rtl w:val="0"/>
        </w:rPr>
      </w:r>
    </w:p>
    <w:p w:rsidR="00000000" w:rsidDel="00000000" w:rsidP="00000000" w:rsidRDefault="00000000" w:rsidRPr="00000000" w14:paraId="0000006F">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Las obligaciones de confidencialidad subsistirán por un plazo de TRES (3) años contados desde la finalización del vínculo comercial, con independencia de la causa que lo origine.</w:t>
      </w:r>
      <w:r w:rsidDel="00000000" w:rsidR="00000000" w:rsidRPr="00000000">
        <w:rPr>
          <w:rtl w:val="0"/>
        </w:rPr>
      </w:r>
    </w:p>
    <w:p w:rsidR="00000000" w:rsidDel="00000000" w:rsidP="00000000" w:rsidRDefault="00000000" w:rsidRPr="00000000" w14:paraId="00000070">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A la finalización de la relación, cada Parte deberá, a opción de la Parte divulgante: (i) devolver toda la Información Confidencial recibida; o (ii) destruirla de manera certificada y confirmar dicha destrucción por escrito, en un plazo máximo de TREINTA (30) días corridos.</w:t>
      </w:r>
      <w:r w:rsidDel="00000000" w:rsidR="00000000" w:rsidRPr="00000000">
        <w:rPr>
          <w:rtl w:val="0"/>
        </w:rPr>
      </w:r>
    </w:p>
    <w:p w:rsidR="00000000" w:rsidDel="00000000" w:rsidP="00000000" w:rsidRDefault="00000000" w:rsidRPr="00000000" w14:paraId="00000071">
      <w:pPr>
        <w:spacing w:after="100" w:before="300" w:lineRule="auto"/>
        <w:rPr>
          <w:rFonts w:ascii="Calibri" w:cs="Calibri" w:eastAsia="Calibri" w:hAnsi="Calibri"/>
          <w:b w:val="1"/>
          <w:bCs w:val="1"/>
          <w:color w:val="9900f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NOVENA. CONSECUENCIAS DEL INCUMPLIMIENTO</w:t>
      </w:r>
      <w:r w:rsidDel="00000000" w:rsidR="00000000" w:rsidRPr="00000000">
        <w:rPr>
          <w:rtl w:val="0"/>
        </w:rPr>
      </w:r>
    </w:p>
    <w:p w:rsidR="00000000" w:rsidDel="00000000" w:rsidP="00000000" w:rsidRDefault="00000000" w:rsidRPr="00000000" w14:paraId="00000073">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El incumplimiento de las obligaciones del presente Acuerdo habilitará a la Parte afectada a:</w:t>
      </w:r>
      <w:r w:rsidDel="00000000" w:rsidR="00000000" w:rsidRPr="00000000">
        <w:rPr>
          <w:rtl w:val="0"/>
        </w:rPr>
      </w:r>
    </w:p>
    <w:p w:rsidR="00000000" w:rsidDel="00000000" w:rsidP="00000000" w:rsidRDefault="00000000" w:rsidRPr="00000000" w14:paraId="00000074">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a)</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Exigir judicialmente el cumplimiento específico de las obligaciones pactadas, con más los daños y perjuicios derivados del incumplimiento.</w:t>
      </w:r>
      <w:r w:rsidDel="00000000" w:rsidR="00000000" w:rsidRPr="00000000">
        <w:rPr>
          <w:rtl w:val="0"/>
        </w:rPr>
      </w:r>
    </w:p>
    <w:p w:rsidR="00000000" w:rsidDel="00000000" w:rsidP="00000000" w:rsidRDefault="00000000" w:rsidRPr="00000000" w14:paraId="00000075">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b) </w:t>
      </w:r>
      <w:r w:rsidDel="00000000" w:rsidR="00000000" w:rsidRPr="00000000">
        <w:rPr>
          <w:rFonts w:ascii="Calibri" w:cs="Calibri" w:eastAsia="Calibri" w:hAnsi="Calibri"/>
          <w:color w:val="0d1f2d"/>
          <w:sz w:val="21"/>
          <w:szCs w:val="21"/>
          <w:rtl w:val="0"/>
        </w:rPr>
        <w:t xml:space="preserve">Solicitar medidas cautelares urgentes ante los tribunales competentes, incluyendo el cese inmediato de toda divulgación o uso no autorizado de la Información Confidencial.</w:t>
      </w:r>
      <w:r w:rsidDel="00000000" w:rsidR="00000000" w:rsidRPr="00000000">
        <w:rPr>
          <w:rtl w:val="0"/>
        </w:rPr>
      </w:r>
    </w:p>
    <w:p w:rsidR="00000000" w:rsidDel="00000000" w:rsidP="00000000" w:rsidRDefault="00000000" w:rsidRPr="00000000" w14:paraId="00000076">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c)</w:t>
      </w:r>
      <w:r w:rsidDel="00000000" w:rsidR="00000000" w:rsidRPr="00000000">
        <w:rPr>
          <w:rFonts w:ascii="Calibri" w:cs="Calibri" w:eastAsia="Calibri" w:hAnsi="Calibri"/>
          <w:b w:val="1"/>
          <w:bCs w:val="1"/>
          <w:color w:val="1a6a72"/>
          <w:sz w:val="21"/>
          <w:szCs w:val="21"/>
          <w:rtl w:val="0"/>
        </w:rPr>
        <w:t xml:space="preserve"> </w:t>
      </w:r>
      <w:r w:rsidDel="00000000" w:rsidR="00000000" w:rsidRPr="00000000">
        <w:rPr>
          <w:rFonts w:ascii="Calibri" w:cs="Calibri" w:eastAsia="Calibri" w:hAnsi="Calibri"/>
          <w:color w:val="0d1f2d"/>
          <w:sz w:val="21"/>
          <w:szCs w:val="21"/>
          <w:rtl w:val="0"/>
        </w:rPr>
        <w:t xml:space="preserve">Reclamar el resarcimiento integral de los daños sufridos, incluyendo daño emergente, lucro cesante y daño reputacional, conforme los arts. 1737 y ss. del Código Civil y Comercial de la Nación.</w:t>
      </w:r>
      <w:r w:rsidDel="00000000" w:rsidR="00000000" w:rsidRPr="00000000">
        <w:rPr>
          <w:rtl w:val="0"/>
        </w:rPr>
      </w:r>
    </w:p>
    <w:p w:rsidR="00000000" w:rsidDel="00000000" w:rsidP="00000000" w:rsidRDefault="00000000" w:rsidRPr="00000000" w14:paraId="00000077">
      <w:pPr>
        <w:spacing w:after="140" w:line="280" w:lineRule="auto"/>
        <w:jc w:val="both"/>
        <w:rPr>
          <w:rFonts w:ascii="Calibri" w:cs="Calibri" w:eastAsia="Calibri" w:hAnsi="Calibri"/>
        </w:rPr>
      </w:pPr>
      <w:r w:rsidDel="00000000" w:rsidR="00000000" w:rsidRPr="00000000">
        <w:rPr>
          <w:rFonts w:ascii="Calibri" w:cs="Calibri" w:eastAsia="Calibri" w:hAnsi="Calibri"/>
          <w:color w:val="0d1f2d"/>
          <w:sz w:val="21"/>
          <w:szCs w:val="21"/>
          <w:rtl w:val="0"/>
        </w:rPr>
        <w:t xml:space="preserve">Las Partes reconocen que el incumplimiento de las obligaciones de confidencialidad causaría un daño de difícil reparación, por lo que la Parte afectada estará legitimada para solicitar medidas urgentes sin necesidad de acreditar el daño efectivo.</w:t>
      </w:r>
      <w:r w:rsidDel="00000000" w:rsidR="00000000" w:rsidRPr="00000000">
        <w:rPr>
          <w:rtl w:val="0"/>
        </w:rPr>
      </w:r>
    </w:p>
    <w:p w:rsidR="00000000" w:rsidDel="00000000" w:rsidP="00000000" w:rsidRDefault="00000000" w:rsidRPr="00000000" w14:paraId="00000078">
      <w:pPr>
        <w:spacing w:after="100" w:before="300" w:lineRule="auto"/>
        <w:rPr>
          <w:rFonts w:ascii="Calibri" w:cs="Calibri" w:eastAsia="Calibri" w:hAnsi="Calibri"/>
          <w:color w:val="9900ff"/>
        </w:rPr>
      </w:pPr>
      <w:r w:rsidDel="00000000" w:rsidR="00000000" w:rsidRPr="00000000">
        <w:rPr>
          <w:rFonts w:ascii="Calibri" w:cs="Calibri" w:eastAsia="Calibri" w:hAnsi="Calibri"/>
          <w:b w:val="1"/>
          <w:bCs w:val="1"/>
          <w:color w:val="9900ff"/>
          <w:sz w:val="22"/>
          <w:szCs w:val="22"/>
          <w:rtl w:val="0"/>
        </w:rPr>
        <w:t xml:space="preserve">CLÁUSULA DÉCIMA.  DISPOSICIONES GENERALES</w:t>
      </w:r>
      <w:r w:rsidDel="00000000" w:rsidR="00000000" w:rsidRPr="00000000">
        <w:rPr>
          <w:rtl w:val="0"/>
        </w:rPr>
      </w:r>
    </w:p>
    <w:p w:rsidR="00000000" w:rsidDel="00000000" w:rsidP="00000000" w:rsidRDefault="00000000" w:rsidRPr="00000000" w14:paraId="00000079">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a) LEGISLACIÓN APLICABLE:</w:t>
      </w:r>
      <w:r w:rsidDel="00000000" w:rsidR="00000000" w:rsidRPr="00000000">
        <w:rPr>
          <w:rFonts w:ascii="Calibri" w:cs="Calibri" w:eastAsia="Calibri" w:hAnsi="Calibri"/>
          <w:b w:val="1"/>
          <w:bCs w:val="1"/>
          <w:color w:val="0d1f2d"/>
          <w:sz w:val="21"/>
          <w:szCs w:val="21"/>
          <w:rtl w:val="0"/>
        </w:rPr>
        <w:t xml:space="preserve"> </w:t>
      </w:r>
      <w:r w:rsidDel="00000000" w:rsidR="00000000" w:rsidRPr="00000000">
        <w:rPr>
          <w:rFonts w:ascii="Calibri" w:cs="Calibri" w:eastAsia="Calibri" w:hAnsi="Calibri"/>
          <w:color w:val="0d1f2d"/>
          <w:sz w:val="21"/>
          <w:szCs w:val="21"/>
          <w:rtl w:val="0"/>
        </w:rPr>
        <w:t xml:space="preserve">El presente Acuerdo se rige por las leyes de la República Argentina, en particular el Código Civil y Comercial de la Nación (Ley 26.994) y la Ley 25.326 de Protección de los Datos Personales.</w:t>
      </w:r>
      <w:r w:rsidDel="00000000" w:rsidR="00000000" w:rsidRPr="00000000">
        <w:rPr>
          <w:rtl w:val="0"/>
        </w:rPr>
      </w:r>
    </w:p>
    <w:p w:rsidR="00000000" w:rsidDel="00000000" w:rsidP="00000000" w:rsidRDefault="00000000" w:rsidRPr="00000000" w14:paraId="0000007A">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b) JURISDICCIÓN: </w:t>
      </w:r>
      <w:r w:rsidDel="00000000" w:rsidR="00000000" w:rsidRPr="00000000">
        <w:rPr>
          <w:rFonts w:ascii="Calibri" w:cs="Calibri" w:eastAsia="Calibri" w:hAnsi="Calibri"/>
          <w:color w:val="0d1f2d"/>
          <w:sz w:val="21"/>
          <w:szCs w:val="21"/>
          <w:rtl w:val="0"/>
        </w:rPr>
        <w:t xml:space="preserve">Para cualquier controversia, las Partes se someten a los Tribunales Ordinarios de la Ciudad Autónoma de Buenos Aires, renunciando a cualquier otro fuero que pudiera corresponder.</w:t>
      </w:r>
      <w:r w:rsidDel="00000000" w:rsidR="00000000" w:rsidRPr="00000000">
        <w:rPr>
          <w:rtl w:val="0"/>
        </w:rPr>
      </w:r>
    </w:p>
    <w:p w:rsidR="00000000" w:rsidDel="00000000" w:rsidP="00000000" w:rsidRDefault="00000000" w:rsidRPr="00000000" w14:paraId="0000007B">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c) RESOLUCIÓN DE DISPUTAS:</w:t>
      </w:r>
      <w:r w:rsidDel="00000000" w:rsidR="00000000" w:rsidRPr="00000000">
        <w:rPr>
          <w:rFonts w:ascii="Calibri" w:cs="Calibri" w:eastAsia="Calibri" w:hAnsi="Calibri"/>
          <w:b w:val="1"/>
          <w:bCs w:val="1"/>
          <w:color w:val="0d1f2d"/>
          <w:sz w:val="21"/>
          <w:szCs w:val="21"/>
          <w:rtl w:val="0"/>
        </w:rPr>
        <w:t xml:space="preserve"> </w:t>
      </w:r>
      <w:r w:rsidDel="00000000" w:rsidR="00000000" w:rsidRPr="00000000">
        <w:rPr>
          <w:rFonts w:ascii="Calibri" w:cs="Calibri" w:eastAsia="Calibri" w:hAnsi="Calibri"/>
          <w:color w:val="0d1f2d"/>
          <w:sz w:val="21"/>
          <w:szCs w:val="21"/>
          <w:rtl w:val="0"/>
        </w:rPr>
        <w:t xml:space="preserve">Las Partes intentarán resolver toda controversia mediante negociación directa durante DIEZ (10) días hábiles antes de acudir a instancias judiciales.</w:t>
      </w:r>
      <w:r w:rsidDel="00000000" w:rsidR="00000000" w:rsidRPr="00000000">
        <w:rPr>
          <w:rtl w:val="0"/>
        </w:rPr>
      </w:r>
    </w:p>
    <w:p w:rsidR="00000000" w:rsidDel="00000000" w:rsidP="00000000" w:rsidRDefault="00000000" w:rsidRPr="00000000" w14:paraId="0000007C">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d) MODIFICACIONES:</w:t>
      </w:r>
      <w:r w:rsidDel="00000000" w:rsidR="00000000" w:rsidRPr="00000000">
        <w:rPr>
          <w:rFonts w:ascii="Calibri" w:cs="Calibri" w:eastAsia="Calibri" w:hAnsi="Calibri"/>
          <w:b w:val="1"/>
          <w:bCs w:val="1"/>
          <w:color w:val="0d1f2d"/>
          <w:sz w:val="21"/>
          <w:szCs w:val="21"/>
          <w:rtl w:val="0"/>
        </w:rPr>
        <w:t xml:space="preserve"> </w:t>
      </w:r>
      <w:r w:rsidDel="00000000" w:rsidR="00000000" w:rsidRPr="00000000">
        <w:rPr>
          <w:rFonts w:ascii="Calibri" w:cs="Calibri" w:eastAsia="Calibri" w:hAnsi="Calibri"/>
          <w:color w:val="0d1f2d"/>
          <w:sz w:val="21"/>
          <w:szCs w:val="21"/>
          <w:rtl w:val="0"/>
        </w:rPr>
        <w:t xml:space="preserve">Toda modificación deberá ser acordada por escrito y firmada por representantes autorizados de ambas Partes.</w:t>
      </w:r>
      <w:r w:rsidDel="00000000" w:rsidR="00000000" w:rsidRPr="00000000">
        <w:rPr>
          <w:rtl w:val="0"/>
        </w:rPr>
      </w:r>
    </w:p>
    <w:p w:rsidR="00000000" w:rsidDel="00000000" w:rsidP="00000000" w:rsidRDefault="00000000" w:rsidRPr="00000000" w14:paraId="0000007D">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e) NULIDAD PARCIAL:</w:t>
      </w:r>
      <w:r w:rsidDel="00000000" w:rsidR="00000000" w:rsidRPr="00000000">
        <w:rPr>
          <w:rFonts w:ascii="Calibri" w:cs="Calibri" w:eastAsia="Calibri" w:hAnsi="Calibri"/>
          <w:b w:val="1"/>
          <w:bCs w:val="1"/>
          <w:color w:val="0d1f2d"/>
          <w:sz w:val="21"/>
          <w:szCs w:val="21"/>
          <w:rtl w:val="0"/>
        </w:rPr>
        <w:t xml:space="preserve"> </w:t>
      </w:r>
      <w:r w:rsidDel="00000000" w:rsidR="00000000" w:rsidRPr="00000000">
        <w:rPr>
          <w:rFonts w:ascii="Calibri" w:cs="Calibri" w:eastAsia="Calibri" w:hAnsi="Calibri"/>
          <w:color w:val="0d1f2d"/>
          <w:sz w:val="21"/>
          <w:szCs w:val="21"/>
          <w:rtl w:val="0"/>
        </w:rPr>
        <w:t xml:space="preserve">La nulidad de alguna cláusula no afectará la validez del resto del Acuerdo.</w:t>
      </w:r>
      <w:r w:rsidDel="00000000" w:rsidR="00000000" w:rsidRPr="00000000">
        <w:rPr>
          <w:rtl w:val="0"/>
        </w:rPr>
      </w:r>
    </w:p>
    <w:p w:rsidR="00000000" w:rsidDel="00000000" w:rsidP="00000000" w:rsidRDefault="00000000" w:rsidRPr="00000000" w14:paraId="0000007E">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f) NOTIFICACIONES: </w:t>
      </w:r>
      <w:r w:rsidDel="00000000" w:rsidR="00000000" w:rsidRPr="00000000">
        <w:rPr>
          <w:rFonts w:ascii="Calibri" w:cs="Calibri" w:eastAsia="Calibri" w:hAnsi="Calibri"/>
          <w:color w:val="0d1f2d"/>
          <w:sz w:val="21"/>
          <w:szCs w:val="21"/>
          <w:rtl w:val="0"/>
        </w:rPr>
        <w:t xml:space="preserve">Las comunicaciones se realizarán a los correos electrónicos indicados en el encabezado, considerándose recibidas a las 24 horas de su envío.</w:t>
      </w:r>
      <w:r w:rsidDel="00000000" w:rsidR="00000000" w:rsidRPr="00000000">
        <w:rPr>
          <w:rtl w:val="0"/>
        </w:rPr>
      </w:r>
    </w:p>
    <w:p w:rsidR="00000000" w:rsidDel="00000000" w:rsidP="00000000" w:rsidRDefault="00000000" w:rsidRPr="00000000" w14:paraId="0000007F">
      <w:pPr>
        <w:spacing w:after="100" w:line="260" w:lineRule="auto"/>
        <w:ind w:left="500" w:firstLine="0"/>
        <w:jc w:val="both"/>
        <w:rPr>
          <w:rFonts w:ascii="Calibri" w:cs="Calibri" w:eastAsia="Calibri" w:hAnsi="Calibri"/>
        </w:rPr>
      </w:pPr>
      <w:r w:rsidDel="00000000" w:rsidR="00000000" w:rsidRPr="00000000">
        <w:rPr>
          <w:rFonts w:ascii="Calibri" w:cs="Calibri" w:eastAsia="Calibri" w:hAnsi="Calibri"/>
          <w:b w:val="1"/>
          <w:bCs w:val="1"/>
          <w:color w:val="9900ff"/>
          <w:sz w:val="21"/>
          <w:szCs w:val="21"/>
          <w:rtl w:val="0"/>
        </w:rPr>
        <w:t xml:space="preserve">g) ACUERDO INTEGRAL: </w:t>
      </w:r>
      <w:r w:rsidDel="00000000" w:rsidR="00000000" w:rsidRPr="00000000">
        <w:rPr>
          <w:rFonts w:ascii="Calibri" w:cs="Calibri" w:eastAsia="Calibri" w:hAnsi="Calibri"/>
          <w:color w:val="0d1f2d"/>
          <w:sz w:val="21"/>
          <w:szCs w:val="21"/>
          <w:rtl w:val="0"/>
        </w:rPr>
        <w:t xml:space="preserve">El presente instrumento constituye el entendimiento completo entre las Partes respecto de la materia aquí regulada y reemplaza cualquier acuerdo previo sobre el mismo objeto.</w:t>
        <w:br w:type="textWrapping"/>
        <w:br w:type="textWrapping"/>
      </w:r>
      <w:r w:rsidDel="00000000" w:rsidR="00000000" w:rsidRPr="00000000">
        <w:rPr>
          <w:rtl w:val="0"/>
        </w:rPr>
      </w:r>
    </w:p>
    <w:p w:rsidR="00000000" w:rsidDel="00000000" w:rsidP="00000000" w:rsidRDefault="00000000" w:rsidRPr="00000000" w14:paraId="00000080">
      <w:pPr>
        <w:spacing w:after="100" w:line="260" w:lineRule="auto"/>
        <w:ind w:left="0" w:firstLine="0"/>
        <w:jc w:val="both"/>
        <w:rPr>
          <w:rFonts w:ascii="Calibri" w:cs="Calibri" w:eastAsia="Calibri" w:hAnsi="Calibri"/>
          <w:color w:val="9966ff"/>
          <w:sz w:val="22"/>
          <w:szCs w:val="22"/>
        </w:rPr>
      </w:pPr>
      <w:r w:rsidDel="00000000" w:rsidR="00000000" w:rsidRPr="00000000">
        <w:rPr>
          <w:rFonts w:ascii="Calibri" w:cs="Calibri" w:eastAsia="Calibri" w:hAnsi="Calibri"/>
          <w:b w:val="1"/>
          <w:bCs w:val="1"/>
          <w:color w:val="9900ff"/>
          <w:sz w:val="22"/>
          <w:szCs w:val="22"/>
          <w:rtl w:val="0"/>
        </w:rPr>
        <w:t xml:space="preserve">CLÁUSULA UNDÉCIMA.  </w:t>
      </w:r>
      <w:r w:rsidDel="00000000" w:rsidR="00000000" w:rsidRPr="00000000">
        <w:rPr>
          <w:rFonts w:ascii="Calibri" w:cs="Calibri" w:eastAsia="Calibri" w:hAnsi="Calibri"/>
          <w:b w:val="1"/>
          <w:bCs w:val="1"/>
          <w:color w:val="9966ff"/>
          <w:sz w:val="22"/>
          <w:szCs w:val="22"/>
          <w:rtl w:val="0"/>
        </w:rPr>
        <w:t xml:space="preserve">Condiciones comerciales</w:t>
      </w:r>
      <w:r w:rsidDel="00000000" w:rsidR="00000000" w:rsidRPr="00000000">
        <w:rPr>
          <w:rtl w:val="0"/>
        </w:rPr>
      </w:r>
    </w:p>
    <w:p w:rsidR="00000000" w:rsidDel="00000000" w:rsidP="00000000" w:rsidRDefault="00000000" w:rsidRPr="00000000" w14:paraId="00000081">
      <w:pPr>
        <w:spacing w:after="240" w:line="276"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continuación, detallamos la estructura de inversión propuesta para EDFAN, diferenciando el licenciamiento del software (que se abona directamente a Prometheo) y los honorarios de consultoría e implementación de AUREA HUB.</w:t>
      </w:r>
    </w:p>
    <w:p w:rsidR="00000000" w:rsidDel="00000000" w:rsidP="00000000" w:rsidRDefault="00000000" w:rsidRPr="00000000" w14:paraId="00000082">
      <w:pPr>
        <w:spacing w:after="120" w:before="80" w:line="276" w:lineRule="auto"/>
        <w:rPr>
          <w:rFonts w:ascii="Calibri" w:cs="Calibri" w:eastAsia="Calibri" w:hAnsi="Calibri"/>
          <w:color w:val="9966ff"/>
          <w:sz w:val="22"/>
          <w:szCs w:val="22"/>
        </w:rPr>
      </w:pPr>
      <w:r w:rsidDel="00000000" w:rsidR="00000000" w:rsidRPr="00000000">
        <w:rPr>
          <w:rFonts w:ascii="Calibri" w:cs="Calibri" w:eastAsia="Calibri" w:hAnsi="Calibri"/>
          <w:b w:val="1"/>
          <w:bCs w:val="1"/>
          <w:color w:val="9966ff"/>
          <w:sz w:val="22"/>
          <w:szCs w:val="22"/>
          <w:rtl w:val="0"/>
        </w:rPr>
        <w:t xml:space="preserve">Resumen de inversión</w:t>
      </w:r>
      <w:r w:rsidDel="00000000" w:rsidR="00000000" w:rsidRPr="00000000">
        <w:rPr>
          <w:rtl w:val="0"/>
        </w:rPr>
      </w:r>
    </w:p>
    <w:tbl>
      <w:tblPr>
        <w:tblStyle w:val="Table6"/>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760"/>
        <w:gridCol w:w="1740"/>
        <w:gridCol w:w="1575"/>
        <w:gridCol w:w="2385"/>
        <w:gridCol w:w="1485"/>
        <w:tblGridChange w:id="0">
          <w:tblGrid>
            <w:gridCol w:w="2760"/>
            <w:gridCol w:w="1740"/>
            <w:gridCol w:w="1575"/>
            <w:gridCol w:w="2385"/>
            <w:gridCol w:w="1485"/>
          </w:tblGrid>
        </w:tblGridChange>
      </w:tblGrid>
      <w:tr>
        <w:trPr>
          <w:cantSplit w:val="0"/>
          <w:tblHeader w:val="0"/>
        </w:trPr>
        <w:tc>
          <w:tcPr>
            <w:shd w:fill="9966ff" w:val="clear"/>
          </w:tcPr>
          <w:p w:rsidR="00000000" w:rsidDel="00000000" w:rsidP="00000000" w:rsidRDefault="00000000" w:rsidRPr="00000000" w14:paraId="00000083">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ffffff"/>
                <w:sz w:val="22"/>
                <w:szCs w:val="22"/>
                <w:rtl w:val="0"/>
              </w:rPr>
              <w:t xml:space="preserve">Concepto</w:t>
            </w:r>
            <w:r w:rsidDel="00000000" w:rsidR="00000000" w:rsidRPr="00000000">
              <w:rPr>
                <w:rtl w:val="0"/>
              </w:rPr>
            </w:r>
          </w:p>
        </w:tc>
        <w:tc>
          <w:tcPr>
            <w:shd w:fill="9966ff" w:val="clear"/>
          </w:tcPr>
          <w:p w:rsidR="00000000" w:rsidDel="00000000" w:rsidP="00000000" w:rsidRDefault="00000000" w:rsidRPr="00000000" w14:paraId="00000084">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ffffff"/>
                <w:sz w:val="22"/>
                <w:szCs w:val="22"/>
                <w:rtl w:val="0"/>
              </w:rPr>
              <w:t xml:space="preserve">Monto</w:t>
            </w:r>
            <w:r w:rsidDel="00000000" w:rsidR="00000000" w:rsidRPr="00000000">
              <w:rPr>
                <w:rtl w:val="0"/>
              </w:rPr>
            </w:r>
          </w:p>
        </w:tc>
        <w:tc>
          <w:tcPr>
            <w:shd w:fill="9966ff" w:val="clear"/>
          </w:tcPr>
          <w:p w:rsidR="00000000" w:rsidDel="00000000" w:rsidP="00000000" w:rsidRDefault="00000000" w:rsidRPr="00000000" w14:paraId="00000085">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ffffff"/>
                <w:sz w:val="22"/>
                <w:szCs w:val="22"/>
                <w:rtl w:val="0"/>
              </w:rPr>
              <w:t xml:space="preserve">Forma de pago</w:t>
            </w:r>
            <w:r w:rsidDel="00000000" w:rsidR="00000000" w:rsidRPr="00000000">
              <w:rPr>
                <w:rtl w:val="0"/>
              </w:rPr>
            </w:r>
          </w:p>
        </w:tc>
        <w:tc>
          <w:tcPr>
            <w:shd w:fill="9966ff" w:val="clear"/>
          </w:tcPr>
          <w:p w:rsidR="00000000" w:rsidDel="00000000" w:rsidP="00000000" w:rsidRDefault="00000000" w:rsidRPr="00000000" w14:paraId="00000086">
            <w:pPr>
              <w:spacing w:after="200" w:line="276"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Fecha para pagar</w:t>
            </w:r>
          </w:p>
        </w:tc>
        <w:tc>
          <w:tcPr>
            <w:shd w:fill="9966ff" w:val="clear"/>
          </w:tcPr>
          <w:p w:rsidR="00000000" w:rsidDel="00000000" w:rsidP="00000000" w:rsidRDefault="00000000" w:rsidRPr="00000000" w14:paraId="00000087">
            <w:pPr>
              <w:spacing w:after="200" w:line="276"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 quién se paga</w:t>
            </w:r>
          </w:p>
        </w:tc>
      </w:tr>
      <w:tr>
        <w:trPr>
          <w:cantSplit w:val="0"/>
          <w:tblHeader w:val="0"/>
        </w:trPr>
        <w:tc>
          <w:tcPr/>
          <w:p w:rsidR="00000000" w:rsidDel="00000000" w:rsidP="00000000" w:rsidRDefault="00000000" w:rsidRPr="00000000" w14:paraId="00000088">
            <w:pPr>
              <w:spacing w:after="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Licenciamiento Prometheo — Plan Enterprise (sugerido)</w:t>
            </w:r>
          </w:p>
        </w:tc>
        <w:tc>
          <w:tcPr/>
          <w:p w:rsidR="00000000" w:rsidDel="00000000" w:rsidP="00000000" w:rsidRDefault="00000000" w:rsidRPr="00000000" w14:paraId="00000089">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USD 149 / mes ó</w:t>
              <w:br w:type="textWrapping"/>
            </w:r>
            <w:r w:rsidDel="00000000" w:rsidR="00000000" w:rsidRPr="00000000">
              <w:rPr>
                <w:rFonts w:ascii="Calibri" w:cs="Calibri" w:eastAsia="Calibri" w:hAnsi="Calibri"/>
                <w:i w:val="1"/>
                <w:iCs w:val="1"/>
                <w:color w:val="555555"/>
                <w:sz w:val="22"/>
                <w:szCs w:val="22"/>
                <w:rtl w:val="0"/>
              </w:rPr>
              <w:t xml:space="preserve">- ó -</w:t>
            </w:r>
            <w:r w:rsidDel="00000000" w:rsidR="00000000" w:rsidRPr="00000000">
              <w:rPr>
                <w:rFonts w:ascii="Calibri" w:cs="Calibri" w:eastAsia="Calibri" w:hAnsi="Calibri"/>
                <w:color w:val="000000"/>
                <w:sz w:val="22"/>
                <w:szCs w:val="22"/>
                <w:rtl w:val="0"/>
              </w:rPr>
              <w:br w:type="textWrapping"/>
              <w:t xml:space="preserve">USD 804,6 por 6 meses</w:t>
            </w:r>
          </w:p>
        </w:tc>
        <w:tc>
          <w:tcPr/>
          <w:p w:rsidR="00000000" w:rsidDel="00000000" w:rsidP="00000000" w:rsidRDefault="00000000" w:rsidRPr="00000000" w14:paraId="0000008A">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Mensual </w:t>
              <w:br w:type="textWrapping"/>
              <w:t xml:space="preserve">- ó -</w:t>
              <w:br w:type="textWrapping"/>
              <w:t xml:space="preserve">Efectivo.</w:t>
            </w:r>
          </w:p>
        </w:tc>
        <w:tc>
          <w:tcPr/>
          <w:p w:rsidR="00000000" w:rsidDel="00000000" w:rsidP="00000000" w:rsidRDefault="00000000" w:rsidRPr="00000000" w14:paraId="0000008B">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A los 15 días aprox de haber comenzado con la Etapa 1.</w:t>
            </w:r>
          </w:p>
        </w:tc>
        <w:tc>
          <w:tcPr/>
          <w:p w:rsidR="00000000" w:rsidDel="00000000" w:rsidP="00000000" w:rsidRDefault="00000000" w:rsidRPr="00000000" w14:paraId="0000008C">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Directo a Prometheo</w:t>
            </w:r>
          </w:p>
        </w:tc>
      </w:tr>
      <w:tr>
        <w:trPr>
          <w:cantSplit w:val="0"/>
          <w:tblHeader w:val="0"/>
        </w:trPr>
        <w:tc>
          <w:tcPr/>
          <w:p w:rsidR="00000000" w:rsidDel="00000000" w:rsidP="00000000" w:rsidRDefault="00000000" w:rsidRPr="00000000" w14:paraId="0000008D">
            <w:pPr>
              <w:spacing w:after="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Saldo de IA (tokens) - a Chat GPT</w:t>
            </w:r>
          </w:p>
        </w:tc>
        <w:tc>
          <w:tcPr/>
          <w:p w:rsidR="00000000" w:rsidDel="00000000" w:rsidP="00000000" w:rsidRDefault="00000000" w:rsidRPr="00000000" w14:paraId="0000008E">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USD 20 aprox. </w:t>
              <w:br w:type="textWrapping"/>
              <w:t xml:space="preserve">cada 2.000 chats</w:t>
            </w:r>
          </w:p>
        </w:tc>
        <w:tc>
          <w:tcPr/>
          <w:p w:rsidR="00000000" w:rsidDel="00000000" w:rsidP="00000000" w:rsidRDefault="00000000" w:rsidRPr="00000000" w14:paraId="0000008F">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i w:val="1"/>
                <w:iCs w:val="1"/>
                <w:color w:val="555555"/>
                <w:sz w:val="22"/>
                <w:szCs w:val="22"/>
                <w:rtl w:val="0"/>
              </w:rPr>
              <w:t xml:space="preserve">Según consumo. </w:t>
            </w:r>
            <w:r w:rsidDel="00000000" w:rsidR="00000000" w:rsidRPr="00000000">
              <w:rPr>
                <w:rtl w:val="0"/>
              </w:rPr>
            </w:r>
          </w:p>
        </w:tc>
        <w:tc>
          <w:tcPr/>
          <w:p w:rsidR="00000000" w:rsidDel="00000000" w:rsidP="00000000" w:rsidRDefault="00000000" w:rsidRPr="00000000" w14:paraId="00000090">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A los 15 días aprox de haber comenzado con la Etapa 1.</w:t>
            </w:r>
          </w:p>
        </w:tc>
        <w:tc>
          <w:tcPr/>
          <w:p w:rsidR="00000000" w:rsidDel="00000000" w:rsidP="00000000" w:rsidRDefault="00000000" w:rsidRPr="00000000" w14:paraId="00000091">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Desde Prometheo, a Open IA (Aurea se encarga de la gestión).</w:t>
            </w:r>
          </w:p>
        </w:tc>
      </w:tr>
      <w:tr>
        <w:trPr>
          <w:cantSplit w:val="0"/>
          <w:tblHeader w:val="0"/>
        </w:trPr>
        <w:tc>
          <w:tcPr/>
          <w:p w:rsidR="00000000" w:rsidDel="00000000" w:rsidP="00000000" w:rsidRDefault="00000000" w:rsidRPr="00000000" w14:paraId="00000092">
            <w:pPr>
              <w:spacing w:after="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Consultoría e Implementación Prometheo</w:t>
            </w:r>
          </w:p>
        </w:tc>
        <w:tc>
          <w:tcPr/>
          <w:p w:rsidR="00000000" w:rsidDel="00000000" w:rsidP="00000000" w:rsidRDefault="00000000" w:rsidRPr="00000000" w14:paraId="00000093">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USD 425 / mes</w:t>
              <w:br w:type="textWrapping"/>
              <w:t xml:space="preserve">(bonificado)</w:t>
            </w:r>
          </w:p>
        </w:tc>
        <w:tc>
          <w:tcPr/>
          <w:p w:rsidR="00000000" w:rsidDel="00000000" w:rsidP="00000000" w:rsidRDefault="00000000" w:rsidRPr="00000000" w14:paraId="00000094">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i w:val="1"/>
                <w:iCs w:val="1"/>
                <w:color w:val="555555"/>
                <w:sz w:val="22"/>
                <w:szCs w:val="22"/>
                <w:rtl w:val="0"/>
              </w:rPr>
              <w:t xml:space="preserve">Mensual, adelantado.</w:t>
              <w:br w:type="textWrapping"/>
              <w:t xml:space="preserve">Por 3 meses total.</w:t>
            </w:r>
            <w:r w:rsidDel="00000000" w:rsidR="00000000" w:rsidRPr="00000000">
              <w:rPr>
                <w:rtl w:val="0"/>
              </w:rPr>
            </w:r>
          </w:p>
        </w:tc>
        <w:tc>
          <w:tcPr/>
          <w:p w:rsidR="00000000" w:rsidDel="00000000" w:rsidP="00000000" w:rsidRDefault="00000000" w:rsidRPr="00000000" w14:paraId="00000095">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Al día 1 del Proyecto.</w:t>
            </w:r>
          </w:p>
        </w:tc>
        <w:tc>
          <w:tcPr/>
          <w:p w:rsidR="00000000" w:rsidDel="00000000" w:rsidP="00000000" w:rsidRDefault="00000000" w:rsidRPr="00000000" w14:paraId="00000096">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Aurea Hub.</w:t>
            </w:r>
          </w:p>
        </w:tc>
      </w:tr>
      <w:tr>
        <w:trPr>
          <w:cantSplit w:val="0"/>
          <w:tblHeader w:val="0"/>
        </w:trPr>
        <w:tc>
          <w:tcPr/>
          <w:p w:rsidR="00000000" w:rsidDel="00000000" w:rsidP="00000000" w:rsidRDefault="00000000" w:rsidRPr="00000000" w14:paraId="00000097">
            <w:pPr>
              <w:spacing w:after="20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Servicio de Mejora Continua (Start). </w:t>
            </w:r>
            <w:r w:rsidDel="00000000" w:rsidR="00000000" w:rsidRPr="00000000">
              <w:rPr>
                <w:rFonts w:ascii="Calibri" w:cs="Calibri" w:eastAsia="Calibri" w:hAnsi="Calibri"/>
                <w:i w:val="1"/>
                <w:iCs w:val="1"/>
                <w:color w:val="555555"/>
                <w:sz w:val="22"/>
                <w:szCs w:val="22"/>
                <w:rtl w:val="0"/>
              </w:rPr>
              <w:t xml:space="preserve">Post implementación.</w:t>
            </w:r>
            <w:r w:rsidDel="00000000" w:rsidR="00000000" w:rsidRPr="00000000">
              <w:rPr>
                <w:rtl w:val="0"/>
              </w:rPr>
            </w:r>
          </w:p>
        </w:tc>
        <w:tc>
          <w:tcPr/>
          <w:p w:rsidR="00000000" w:rsidDel="00000000" w:rsidP="00000000" w:rsidRDefault="00000000" w:rsidRPr="00000000" w14:paraId="00000098">
            <w:pP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USD 150</w:t>
            </w:r>
          </w:p>
        </w:tc>
        <w:tc>
          <w:tcPr/>
          <w:p w:rsidR="00000000" w:rsidDel="00000000" w:rsidP="00000000" w:rsidRDefault="00000000" w:rsidRPr="00000000" w14:paraId="00000099">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Mensual. Por 3/4 Meses. </w:t>
            </w:r>
          </w:p>
        </w:tc>
        <w:tc>
          <w:tcPr/>
          <w:p w:rsidR="00000000" w:rsidDel="00000000" w:rsidP="00000000" w:rsidRDefault="00000000" w:rsidRPr="00000000" w14:paraId="0000009A">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Al cuarto mes.</w:t>
            </w:r>
          </w:p>
        </w:tc>
        <w:tc>
          <w:tcPr/>
          <w:p w:rsidR="00000000" w:rsidDel="00000000" w:rsidP="00000000" w:rsidRDefault="00000000" w:rsidRPr="00000000" w14:paraId="0000009B">
            <w:pPr>
              <w:spacing w:after="200" w:line="276" w:lineRule="auto"/>
              <w:jc w:val="center"/>
              <w:rPr>
                <w:rFonts w:ascii="Calibri" w:cs="Calibri" w:eastAsia="Calibri" w:hAnsi="Calibri"/>
                <w:i w:val="1"/>
                <w:iCs w:val="1"/>
                <w:color w:val="555555"/>
                <w:sz w:val="22"/>
                <w:szCs w:val="22"/>
              </w:rPr>
            </w:pPr>
            <w:r w:rsidDel="00000000" w:rsidR="00000000" w:rsidRPr="00000000">
              <w:rPr>
                <w:rFonts w:ascii="Calibri" w:cs="Calibri" w:eastAsia="Calibri" w:hAnsi="Calibri"/>
                <w:i w:val="1"/>
                <w:iCs w:val="1"/>
                <w:color w:val="555555"/>
                <w:sz w:val="22"/>
                <w:szCs w:val="22"/>
                <w:rtl w:val="0"/>
              </w:rPr>
              <w:t xml:space="preserve">Aurea Hub.</w:t>
            </w:r>
          </w:p>
        </w:tc>
      </w:tr>
    </w:tbl>
    <w:p w:rsidR="00000000" w:rsidDel="00000000" w:rsidP="00000000" w:rsidRDefault="00000000" w:rsidRPr="00000000" w14:paraId="0000009C">
      <w:pPr>
        <w:spacing w:after="200"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D">
      <w:pPr>
        <w:spacing w:after="240" w:line="276" w:lineRule="auto"/>
        <w:rPr>
          <w:rFonts w:ascii="Calibri" w:cs="Calibri" w:eastAsia="Calibri" w:hAnsi="Calibri"/>
          <w:color w:val="000000"/>
          <w:sz w:val="22"/>
          <w:szCs w:val="22"/>
        </w:rPr>
      </w:pPr>
      <w:r w:rsidDel="00000000" w:rsidR="00000000" w:rsidRPr="00000000">
        <w:rPr>
          <w:rFonts w:ascii="Calibri" w:cs="Calibri" w:eastAsia="Calibri" w:hAnsi="Calibri"/>
          <w:i w:val="1"/>
          <w:iCs w:val="1"/>
          <w:color w:val="555555"/>
          <w:sz w:val="20"/>
          <w:szCs w:val="20"/>
          <w:rtl w:val="0"/>
        </w:rPr>
        <w:t xml:space="preserve">La suscripción mensual a Prometheo (USD 149) se mantiene mientras la cuenta esté activa. Una vez finalizada la implementación, queda únicamente ese fee recurrente de software + el saldo de IA según uso.</w:t>
      </w:r>
      <w:r w:rsidDel="00000000" w:rsidR="00000000" w:rsidRPr="00000000">
        <w:rPr>
          <w:rtl w:val="0"/>
        </w:rPr>
      </w:r>
    </w:p>
    <w:p w:rsidR="00000000" w:rsidDel="00000000" w:rsidP="00000000" w:rsidRDefault="00000000" w:rsidRPr="00000000" w14:paraId="0000009E">
      <w:pPr>
        <w:spacing w:after="100" w:line="260" w:lineRule="auto"/>
        <w:ind w:left="50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after="10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pBdr>
          <w:bottom w:color="1a6a72" w:space="1" w:sz="6" w:val="single"/>
        </w:pBd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10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120" w:before="80" w:lineRule="auto"/>
        <w:jc w:val="center"/>
        <w:rPr>
          <w:rFonts w:ascii="Calibri" w:cs="Calibri" w:eastAsia="Calibri" w:hAnsi="Calibri"/>
        </w:rPr>
      </w:pPr>
      <w:r w:rsidDel="00000000" w:rsidR="00000000" w:rsidRPr="00000000">
        <w:rPr>
          <w:rFonts w:ascii="Calibri" w:cs="Calibri" w:eastAsia="Calibri" w:hAnsi="Calibri"/>
          <w:b w:val="1"/>
          <w:bCs w:val="1"/>
          <w:color w:val="0d1f2d"/>
          <w:sz w:val="24"/>
          <w:szCs w:val="24"/>
          <w:rtl w:val="0"/>
        </w:rPr>
        <w:t xml:space="preserve">FIRMAS</w:t>
      </w:r>
      <w:r w:rsidDel="00000000" w:rsidR="00000000" w:rsidRPr="00000000">
        <w:rPr>
          <w:rtl w:val="0"/>
        </w:rPr>
      </w:r>
    </w:p>
    <w:tbl>
      <w:tblPr>
        <w:tblStyle w:val="Table7"/>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19"/>
        <w:gridCol w:w="400"/>
        <w:gridCol w:w="4619"/>
        <w:tblGridChange w:id="0">
          <w:tblGrid>
            <w:gridCol w:w="4619"/>
            <w:gridCol w:w="400"/>
            <w:gridCol w:w="46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00ff" w:val="clear"/>
            <w:tcMar>
              <w:top w:w="100.0" w:type="dxa"/>
              <w:left w:w="200.0" w:type="dxa"/>
              <w:bottom w:w="100.0" w:type="dxa"/>
              <w:right w:w="200.0" w:type="dxa"/>
            </w:tcMar>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PARTE DIVULGANTE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00ff" w:val="clear"/>
            <w:tcMar>
              <w:top w:w="100.0" w:type="dxa"/>
              <w:left w:w="200.0" w:type="dxa"/>
              <w:bottom w:w="100.0" w:type="dxa"/>
              <w:right w:w="200.0" w:type="dxa"/>
            </w:tcMar>
          </w:tcPr>
          <w:p w:rsidR="00000000" w:rsidDel="00000000" w:rsidP="00000000" w:rsidRDefault="00000000" w:rsidRPr="00000000" w14:paraId="000000A5">
            <w:pPr>
              <w:jc w:val="center"/>
              <w:rPr>
                <w:rFonts w:ascii="Calibri" w:cs="Calibri" w:eastAsia="Calibri" w:hAnsi="Calibri"/>
              </w:rPr>
            </w:pPr>
            <w:r w:rsidDel="00000000" w:rsidR="00000000" w:rsidRPr="00000000">
              <w:rPr>
                <w:rFonts w:ascii="Calibri" w:cs="Calibri" w:eastAsia="Calibri" w:hAnsi="Calibri"/>
                <w:b w:val="1"/>
                <w:bCs w:val="1"/>
                <w:color w:val="ffffff"/>
                <w:sz w:val="21"/>
                <w:szCs w:val="21"/>
                <w:rtl w:val="0"/>
              </w:rPr>
              <w:t xml:space="preserve">PARTE RECEPTORA — CLIENTE</w:t>
            </w:r>
            <w:r w:rsidDel="00000000" w:rsidR="00000000" w:rsidRPr="00000000">
              <w:rPr>
                <w:rtl w:val="0"/>
              </w:rPr>
            </w:r>
          </w:p>
        </w:tc>
      </w:tr>
      <w:tr>
        <w:trPr>
          <w:cantSplit w:val="0"/>
          <w:trHeight w:val="2000" w:hRule="atLeast"/>
          <w:tblHeader w:val="0"/>
        </w:trPr>
        <w:tc>
          <w:tcPr>
            <w:tcBorders>
              <w:top w:color="000000" w:space="0" w:sz="0" w:val="nil"/>
              <w:left w:color="1a6a72" w:space="0" w:sz="4" w:val="single"/>
              <w:bottom w:color="1a6a72" w:space="0" w:sz="4" w:val="single"/>
              <w:right w:color="1a6a72" w:space="0" w:sz="4" w:val="single"/>
            </w:tcBorders>
            <w:tcMar>
              <w:top w:w="160.0" w:type="dxa"/>
              <w:left w:w="240.0" w:type="dxa"/>
              <w:bottom w:w="160.0" w:type="dxa"/>
              <w:right w:w="240.0" w:type="dxa"/>
            </w:tcMar>
            <w:vAlign w:val="bottom"/>
          </w:tcPr>
          <w:p w:rsidR="00000000" w:rsidDel="00000000" w:rsidP="00000000" w:rsidRDefault="00000000" w:rsidRPr="00000000" w14:paraId="000000A6">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237297" cy="63355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37297" cy="63355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60" w:lineRule="auto"/>
              <w:rPr>
                <w:rFonts w:ascii="Calibri" w:cs="Calibri" w:eastAsia="Calibri" w:hAnsi="Calibri"/>
              </w:rPr>
            </w:pPr>
            <w:r w:rsidDel="00000000" w:rsidR="00000000" w:rsidRPr="00000000">
              <w:rPr>
                <w:rFonts w:ascii="Calibri" w:cs="Calibri" w:eastAsia="Calibri" w:hAnsi="Calibri"/>
                <w:color w:val="0d1f2d"/>
                <w:sz w:val="21"/>
                <w:szCs w:val="21"/>
                <w:rtl w:val="0"/>
              </w:rPr>
              <w:t xml:space="preserve">____________________________</w:t>
            </w:r>
            <w:r w:rsidDel="00000000" w:rsidR="00000000" w:rsidRPr="00000000">
              <w:rPr>
                <w:rtl w:val="0"/>
              </w:rPr>
            </w:r>
          </w:p>
          <w:p w:rsidR="00000000" w:rsidDel="00000000" w:rsidP="00000000" w:rsidRDefault="00000000" w:rsidRPr="00000000" w14:paraId="000000A9">
            <w:pPr>
              <w:spacing w:after="40" w:lineRule="auto"/>
              <w:rPr>
                <w:rFonts w:ascii="Calibri" w:cs="Calibri" w:eastAsia="Calibri" w:hAnsi="Calibri"/>
              </w:rPr>
            </w:pPr>
            <w:r w:rsidDel="00000000" w:rsidR="00000000" w:rsidRPr="00000000">
              <w:rPr>
                <w:rFonts w:ascii="Calibri" w:cs="Calibri" w:eastAsia="Calibri" w:hAnsi="Calibri"/>
                <w:b w:val="1"/>
                <w:bCs w:val="1"/>
                <w:color w:val="0d1f2d"/>
                <w:sz w:val="20"/>
                <w:szCs w:val="20"/>
                <w:rtl w:val="0"/>
              </w:rPr>
              <w:t xml:space="preserve">Magalí Dominguez</w:t>
            </w:r>
            <w:r w:rsidDel="00000000" w:rsidR="00000000" w:rsidRPr="00000000">
              <w:rPr>
                <w:rtl w:val="0"/>
              </w:rPr>
            </w:r>
          </w:p>
          <w:p w:rsidR="00000000" w:rsidDel="00000000" w:rsidP="00000000" w:rsidRDefault="00000000" w:rsidRPr="00000000" w14:paraId="000000AA">
            <w:pPr>
              <w:spacing w:after="40" w:lineRule="auto"/>
              <w:rPr>
                <w:rFonts w:ascii="Calibri" w:cs="Calibri" w:eastAsia="Calibri" w:hAnsi="Calibri"/>
              </w:rPr>
            </w:pPr>
            <w:r w:rsidDel="00000000" w:rsidR="00000000" w:rsidRPr="00000000">
              <w:rPr>
                <w:rFonts w:ascii="Calibri" w:cs="Calibri" w:eastAsia="Calibri" w:hAnsi="Calibri"/>
                <w:color w:val="6b7280"/>
                <w:sz w:val="19"/>
                <w:szCs w:val="19"/>
                <w:rtl w:val="0"/>
              </w:rPr>
              <w:t xml:space="preserve">CEO &amp; Co-Founder — AUREA HUB</w:t>
            </w:r>
            <w:r w:rsidDel="00000000" w:rsidR="00000000" w:rsidRPr="00000000">
              <w:rPr>
                <w:rtl w:val="0"/>
              </w:rPr>
            </w:r>
          </w:p>
          <w:p w:rsidR="00000000" w:rsidDel="00000000" w:rsidP="00000000" w:rsidRDefault="00000000" w:rsidRPr="00000000" w14:paraId="000000AB">
            <w:pPr>
              <w:spacing w:after="40" w:lineRule="auto"/>
              <w:rPr>
                <w:rFonts w:ascii="Calibri" w:cs="Calibri" w:eastAsia="Calibri" w:hAnsi="Calibri"/>
              </w:rPr>
            </w:pPr>
            <w:r w:rsidDel="00000000" w:rsidR="00000000" w:rsidRPr="00000000">
              <w:rPr>
                <w:rFonts w:ascii="Calibri" w:cs="Calibri" w:eastAsia="Calibri" w:hAnsi="Calibri"/>
                <w:color w:val="6b7280"/>
                <w:sz w:val="18"/>
                <w:szCs w:val="18"/>
                <w:rtl w:val="0"/>
              </w:rPr>
              <w:t xml:space="preserve">Buenos Aires, 26 de Junio de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Calibri" w:cs="Calibri" w:eastAsia="Calibri" w:hAnsi="Calibri"/>
              </w:rPr>
            </w:pPr>
            <w:r w:rsidDel="00000000" w:rsidR="00000000" w:rsidRPr="00000000">
              <w:rPr>
                <w:rtl w:val="0"/>
              </w:rPr>
            </w:r>
          </w:p>
        </w:tc>
        <w:tc>
          <w:tcPr>
            <w:tcBorders>
              <w:top w:color="000000" w:space="0" w:sz="0" w:val="nil"/>
              <w:left w:color="0d1f2d" w:space="0" w:sz="4" w:val="single"/>
              <w:bottom w:color="0d1f2d" w:space="0" w:sz="4" w:val="single"/>
              <w:right w:color="0d1f2d" w:space="0" w:sz="4" w:val="single"/>
            </w:tcBorders>
            <w:shd w:fill="eef0f4" w:val="clear"/>
            <w:tcMar>
              <w:top w:w="160.0" w:type="dxa"/>
              <w:left w:w="240.0" w:type="dxa"/>
              <w:bottom w:w="160.0" w:type="dxa"/>
              <w:right w:w="240.0" w:type="dxa"/>
            </w:tcMar>
            <w:vAlign w:val="bottom"/>
          </w:tcPr>
          <w:p w:rsidR="00000000" w:rsidDel="00000000" w:rsidP="00000000" w:rsidRDefault="00000000" w:rsidRPr="00000000" w14:paraId="000000AD">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60" w:lineRule="auto"/>
              <w:rPr>
                <w:rFonts w:ascii="Calibri" w:cs="Calibri" w:eastAsia="Calibri" w:hAnsi="Calibri"/>
              </w:rPr>
            </w:pPr>
            <w:r w:rsidDel="00000000" w:rsidR="00000000" w:rsidRPr="00000000">
              <w:rPr>
                <w:rFonts w:ascii="Calibri" w:cs="Calibri" w:eastAsia="Calibri" w:hAnsi="Calibri"/>
                <w:color w:val="0d1f2d"/>
                <w:sz w:val="21"/>
                <w:szCs w:val="21"/>
                <w:rtl w:val="0"/>
              </w:rPr>
              <w:t xml:space="preserve">____________________________</w:t>
            </w:r>
            <w:r w:rsidDel="00000000" w:rsidR="00000000" w:rsidRPr="00000000">
              <w:rPr>
                <w:rtl w:val="0"/>
              </w:rPr>
            </w:r>
          </w:p>
          <w:p w:rsidR="00000000" w:rsidDel="00000000" w:rsidP="00000000" w:rsidRDefault="00000000" w:rsidRPr="00000000" w14:paraId="000000AF">
            <w:pPr>
              <w:spacing w:after="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Sebastián Mato</w:t>
            </w:r>
            <w:r w:rsidDel="00000000" w:rsidR="00000000" w:rsidRPr="00000000">
              <w:rPr>
                <w:rtl w:val="0"/>
              </w:rPr>
            </w:r>
          </w:p>
          <w:p w:rsidR="00000000" w:rsidDel="00000000" w:rsidP="00000000" w:rsidRDefault="00000000" w:rsidRPr="00000000" w14:paraId="000000B0">
            <w:pPr>
              <w:spacing w:after="40" w:lineRule="auto"/>
              <w:rPr>
                <w:rFonts w:ascii="Calibri" w:cs="Calibri" w:eastAsia="Calibri" w:hAnsi="Calibri"/>
                <w:color w:val="6b7280"/>
                <w:sz w:val="19"/>
                <w:szCs w:val="19"/>
              </w:rPr>
            </w:pPr>
            <w:r w:rsidDel="00000000" w:rsidR="00000000" w:rsidRPr="00000000">
              <w:rPr>
                <w:rFonts w:ascii="Calibri" w:cs="Calibri" w:eastAsia="Calibri" w:hAnsi="Calibri"/>
                <w:color w:val="6b7280"/>
                <w:sz w:val="19"/>
                <w:szCs w:val="19"/>
                <w:rtl w:val="0"/>
              </w:rPr>
              <w:t xml:space="preserve">Apoderado, en representación de</w:t>
            </w:r>
          </w:p>
          <w:p w:rsidR="00000000" w:rsidDel="00000000" w:rsidP="00000000" w:rsidRDefault="00000000" w:rsidRPr="00000000" w14:paraId="000000B1">
            <w:pPr>
              <w:spacing w:after="40" w:lineRule="auto"/>
              <w:rPr>
                <w:rFonts w:ascii="Calibri" w:cs="Calibri" w:eastAsia="Calibri" w:hAnsi="Calibri"/>
                <w:color w:val="6b7280"/>
                <w:sz w:val="19"/>
                <w:szCs w:val="19"/>
              </w:rPr>
            </w:pPr>
            <w:r w:rsidDel="00000000" w:rsidR="00000000" w:rsidRPr="00000000">
              <w:rPr>
                <w:rFonts w:ascii="Calibri" w:cs="Calibri" w:eastAsia="Calibri" w:hAnsi="Calibri"/>
                <w:color w:val="6b7280"/>
                <w:sz w:val="19"/>
                <w:szCs w:val="19"/>
                <w:rtl w:val="0"/>
              </w:rPr>
              <w:t xml:space="preserve">EDFAN Real Estate, BETROX,</w:t>
            </w:r>
          </w:p>
          <w:p w:rsidR="00000000" w:rsidDel="00000000" w:rsidP="00000000" w:rsidRDefault="00000000" w:rsidRPr="00000000" w14:paraId="000000B2">
            <w:pPr>
              <w:spacing w:after="40" w:lineRule="auto"/>
              <w:rPr>
                <w:rFonts w:ascii="Calibri" w:cs="Calibri" w:eastAsia="Calibri" w:hAnsi="Calibri"/>
                <w:color w:val="6b7280"/>
                <w:sz w:val="19"/>
                <w:szCs w:val="19"/>
              </w:rPr>
            </w:pPr>
            <w:r w:rsidDel="00000000" w:rsidR="00000000" w:rsidRPr="00000000">
              <w:rPr>
                <w:rFonts w:ascii="Calibri" w:cs="Calibri" w:eastAsia="Calibri" w:hAnsi="Calibri"/>
                <w:color w:val="6b7280"/>
                <w:sz w:val="19"/>
                <w:szCs w:val="19"/>
                <w:rtl w:val="0"/>
              </w:rPr>
              <w:t xml:space="preserve">EDFAN Productos y ZATOH.</w:t>
            </w:r>
          </w:p>
          <w:p w:rsidR="00000000" w:rsidDel="00000000" w:rsidP="00000000" w:rsidRDefault="00000000" w:rsidRPr="00000000" w14:paraId="000000B3">
            <w:pPr>
              <w:spacing w:after="40" w:lineRule="auto"/>
              <w:rPr>
                <w:rFonts w:ascii="Calibri" w:cs="Calibri" w:eastAsia="Calibri" w:hAnsi="Calibri"/>
              </w:rPr>
            </w:pPr>
            <w:r w:rsidDel="00000000" w:rsidR="00000000" w:rsidRPr="00000000">
              <w:rPr>
                <w:rFonts w:ascii="Calibri" w:cs="Calibri" w:eastAsia="Calibri" w:hAnsi="Calibri"/>
                <w:color w:val="6b7280"/>
                <w:sz w:val="18"/>
                <w:szCs w:val="18"/>
                <w:rtl w:val="0"/>
              </w:rPr>
              <w:t xml:space="preserve">Buenos Aires, 26 de Junio  de 2026</w:t>
            </w:r>
            <w:r w:rsidDel="00000000" w:rsidR="00000000" w:rsidRPr="00000000">
              <w:rPr>
                <w:rtl w:val="0"/>
              </w:rPr>
            </w:r>
          </w:p>
        </w:tc>
      </w:tr>
    </w:tbl>
    <w:p w:rsidR="00000000" w:rsidDel="00000000" w:rsidP="00000000" w:rsidRDefault="00000000" w:rsidRPr="00000000" w14:paraId="000000B4">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60" w:lineRule="auto"/>
        <w:jc w:val="center"/>
        <w:rPr>
          <w:rFonts w:ascii="Calibri" w:cs="Calibri" w:eastAsia="Calibri" w:hAnsi="Calibri"/>
        </w:rPr>
      </w:pPr>
      <w:r w:rsidDel="00000000" w:rsidR="00000000" w:rsidRPr="00000000">
        <w:rPr>
          <w:rFonts w:ascii="Calibri" w:cs="Calibri" w:eastAsia="Calibri" w:hAnsi="Calibri"/>
          <w:i w:val="1"/>
          <w:iCs w:val="1"/>
          <w:color w:val="6b7280"/>
          <w:sz w:val="19"/>
          <w:szCs w:val="19"/>
          <w:rtl w:val="0"/>
        </w:rPr>
        <w:t xml:space="preserve">El presente instrumento se suscribe en DOS (2) ejemplares de idéntico tenor, quedando uno en poder de cada Parte.</w:t>
      </w:r>
      <w:r w:rsidDel="00000000" w:rsidR="00000000" w:rsidRPr="00000000">
        <w:rPr>
          <w:rtl w:val="0"/>
        </w:rPr>
      </w:r>
    </w:p>
    <w:p w:rsidR="00000000" w:rsidDel="00000000" w:rsidP="00000000" w:rsidRDefault="00000000" w:rsidRPr="00000000" w14:paraId="000000B6">
      <w:pPr>
        <w:pBdr>
          <w:bottom w:color="cccccc" w:space="1" w:sz="4" w:val="single"/>
        </w:pBd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8">
      <w:pPr>
        <w:jc w:val="center"/>
        <w:rPr>
          <w:rFonts w:ascii="Calibri" w:cs="Calibri" w:eastAsia="Calibri" w:hAnsi="Calibri"/>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d1f2d"/>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d1f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5Wx5IVcKWXezo27k9PJhnNA7w==">CgMxLjA4AHIhMURJMHA5N2tDRWVXS05kR3pXOWRKamxDc2ViUlVLT09v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