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PGScen-NYISO — Time-series sourcing decision</w:t>
      </w:r>
    </w:p>
    <w:p>
      <w:pPr>
        <w:spacing w:after="60"/>
      </w:pPr>
      <w:r>
        <w:rPr>
          <w:i/>
          <w:iCs/>
          <w:color w:val="595959"/>
          <w:sz w:val="26"/>
          <w:szCs w:val="26"/>
        </w:rPr>
        <w:t xml:space="preserve">Options for hourly actuals and forecasts at the real plant locations</w:t>
      </w:r>
    </w:p>
    <w:p>
      <w:pPr>
        <w:spacing w:after="240"/>
      </w:pPr>
      <w:r>
        <w:rPr>
          <w:color w:val="808080"/>
          <w:sz w:val="18"/>
          <w:szCs w:val="18"/>
        </w:rPr>
        <w:t xml:space="preserve">Generated 2026-04-10  ·  follow-up to the metadata pipeline (47 geocoded plants)</w:t>
      </w:r>
    </w:p>
    <w:p>
      <w:pPr>
        <w:pStyle w:val="Heading1"/>
        <w:spacing w:after="180" w:before="360"/>
      </w:pPr>
      <w:r>
        <w:rPr>
          <w:b/>
          <w:bCs/>
          <w:color w:val="1F4E79"/>
          <w:sz w:val="32"/>
          <w:szCs w:val="32"/>
        </w:rPr>
        <w:t xml:space="preserve">1. The problem to solve</w:t>
      </w:r>
    </w:p>
    <w:p>
      <w:pPr>
        <w:spacing w:after="120" w:before="0"/>
        <w:jc w:val="both"/>
      </w:pPr>
      <w:r>
        <w:rPr>
          <w:sz w:val="22"/>
          <w:szCs w:val="22"/>
        </w:rPr>
        <w:t xml:space="preserve">For each of the </w:t>
      </w:r>
      <w:r>
        <w:rPr>
          <w:b/>
          <w:bCs/>
          <w:sz w:val="22"/>
          <w:szCs w:val="22"/>
        </w:rPr>
        <w:t xml:space="preserve">47 plants</w:t>
      </w:r>
      <w:r>
        <w:rPr>
          <w:sz w:val="22"/>
          <w:szCs w:val="22"/>
        </w:rPr>
        <w:t xml:space="preserve"> (31 wind + 16 solar) produced by the metadata pipeline, PGScen needs </w:t>
      </w:r>
      <w:r>
        <w:rPr>
          <w:b/>
          <w:bCs/>
          <w:sz w:val="22"/>
          <w:szCs w:val="22"/>
        </w:rPr>
        <w:t xml:space="preserve">two hourly time series</w:t>
      </w:r>
      <w:r>
        <w:rPr>
          <w:sz w:val="22"/>
          <w:szCs w:val="22"/>
        </w:rPr>
        <w:t xml:space="preserve"> spanning several years:</w:t>
      </w:r>
    </w:p>
    <w:p>
      <w:pPr>
        <w:pStyle w:val="ListParagraph"/>
        <w:numPr>
          <w:ilvl w:val="0"/>
          <w:numId w:val="2"/>
        </w:numPr>
        <w:spacing w:after="80" w:before="0"/>
        <w:jc w:val="both"/>
      </w:pPr>
      <w:r>
        <w:rPr>
          <w:b/>
          <w:bCs/>
          <w:sz w:val="22"/>
          <w:szCs w:val="22"/>
        </w:rPr>
        <w:t xml:space="preserve">Actual</w:t>
      </w:r>
      <w:r>
        <w:rPr>
          <w:sz w:val="22"/>
          <w:szCs w:val="22"/>
        </w:rPr>
        <w:t xml:space="preserve">: the real (or a realistic estimate of) production in MW, hour by hour.</w:t>
      </w:r>
    </w:p>
    <w:p>
      <w:pPr>
        <w:pStyle w:val="ListParagraph"/>
        <w:numPr>
          <w:ilvl w:val="0"/>
          <w:numId w:val="2"/>
        </w:numPr>
        <w:spacing w:after="80" w:before="0"/>
        <w:jc w:val="both"/>
      </w:pPr>
      <w:r>
        <w:rPr>
          <w:b/>
          <w:bCs/>
          <w:sz w:val="22"/>
          <w:szCs w:val="22"/>
        </w:rPr>
        <w:t xml:space="preserve">Day-ahead forecast</w:t>
      </w:r>
      <w:r>
        <w:rPr>
          <w:sz w:val="22"/>
          <w:szCs w:val="22"/>
        </w:rPr>
        <w:t xml:space="preserve">: what a forecaster would have issued the previous day at 18:00 UTC for that same hour.</w:t>
      </w:r>
    </w:p>
    <w:p>
      <w:pPr>
        <w:spacing w:after="120" w:before="0"/>
        <w:jc w:val="both"/>
      </w:pPr>
      <w:r>
        <w:rPr>
          <w:sz w:val="22"/>
          <w:szCs w:val="22"/>
        </w:rPr>
        <w:t xml:space="preserve">These two series must be </w:t>
      </w:r>
      <w:r>
        <w:rPr>
          <w:b/>
          <w:bCs/>
          <w:sz w:val="22"/>
          <w:szCs w:val="22"/>
        </w:rPr>
        <w:t xml:space="preserve">consistent with each other</w:t>
      </w:r>
      <w:r>
        <w:rPr>
          <w:sz w:val="22"/>
          <w:szCs w:val="22"/>
        </w:rPr>
        <w:t xml:space="preserve">. They must come from the same ‘physical world’, otherwise the </w:t>
      </w:r>
      <w:r>
        <w:rPr>
          <w:i/>
          <w:iCs/>
          <w:sz w:val="22"/>
          <w:szCs w:val="22"/>
        </w:rPr>
        <w:t xml:space="preserve">actual − forecast</w:t>
      </w:r>
      <w:r>
        <w:rPr>
          <w:sz w:val="22"/>
          <w:szCs w:val="22"/>
        </w:rPr>
        <w:t xml:space="preserve"> deviations that GEMINI models have no statistical meaning.</w:t>
      </w:r>
    </w:p>
    <w:p>
      <w:pPr>
        <w:spacing w:after="120" w:before="0"/>
        <w:jc w:val="both"/>
      </w:pPr>
      <w:r>
        <w:rPr>
          <w:b/>
          <w:bCs/>
          <w:sz w:val="22"/>
          <w:szCs w:val="22"/>
        </w:rPr>
        <w:t xml:space="preserve">This is the crucial point.</w:t>
      </w:r>
      <w:r>
        <w:rPr>
          <w:sz w:val="22"/>
          <w:szCs w:val="22"/>
        </w:rPr>
        <w:t xml:space="preserve"> You cannot mix any source of actuals with any source of forecasts. If the actual comes from real observed weather and the forecast comes from a numerical model, the deviation captures something real — the actual error of the forecasting model. If the actual comes from one model and the forecast comes from another, the deviation captures the difference between two models, which has nothing to do with real-world forecast error.</w:t>
      </w:r>
    </w:p>
    <w:p>
      <w:pPr>
        <w:spacing w:after="120" w:before="0"/>
        <w:jc w:val="both"/>
      </w:pPr>
      <w:r>
        <w:rPr>
          <w:sz w:val="22"/>
          <w:szCs w:val="22"/>
        </w:rPr>
        <w:t xml:space="preserve">That is what makes the decision non-trivial. It is not just ‘download some data from somewhere’. It is ‘design an actual/forecast pair that is physically consistent’.</w:t>
      </w:r>
    </w:p>
    <w:p>
      <w:pPr>
        <w:pStyle w:val="Heading1"/>
        <w:spacing w:after="180" w:before="360"/>
      </w:pPr>
      <w:r>
        <w:rPr>
          <w:b/>
          <w:bCs/>
          <w:color w:val="1F4E79"/>
          <w:sz w:val="32"/>
          <w:szCs w:val="32"/>
        </w:rPr>
        <w:t xml:space="preserve">2. Catalogue of candidate data sources</w:t>
      </w:r>
    </w:p>
    <w:p>
      <w:pPr>
        <w:spacing w:after="120" w:before="0"/>
        <w:jc w:val="both"/>
      </w:pPr>
      <w:r>
        <w:rPr>
          <w:sz w:val="22"/>
          <w:szCs w:val="22"/>
        </w:rPr>
        <w:t xml:space="preserve">Before listing combined options, here is the raw catalogue of what exists for New 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600"/>
        <w:gridCol w:w="1100"/>
        <w:gridCol w:w="24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Source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Resolution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Coverage</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Cost</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Possible role</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Renewables.ninja</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MERRA-2 reanalysis + physical model</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~50 km</w:t>
            </w:r>
          </w:p>
        </w:tc>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1980–2023</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Free (academic)</w:t>
            </w:r>
          </w:p>
        </w:tc>
        <w:tc>
          <w:tcPr>
            <w:tcW w:type="dxa" w:w="2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Reproducible actuals</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HRRR archive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NOAA operational forecast model</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3 km</w:t>
            </w:r>
          </w:p>
        </w:tc>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Jul 2014 – present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Free (AWS Open Data)</w:t>
            </w:r>
          </w:p>
        </w:tc>
        <w:tc>
          <w:tcPr>
            <w:tcW w:type="dxa" w:w="24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Real forecasts + F00 analysis</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ERA5</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ECMWF reanalysis</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~30 km</w:t>
            </w:r>
          </w:p>
        </w:tc>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1940 – present</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Free (CDS)</w:t>
            </w:r>
          </w:p>
        </w:tc>
        <w:tc>
          <w:tcPr>
            <w:tcW w:type="dxa" w:w="2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Alternative actuals</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NYISO totals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NYISO operational data</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NYCA</w:t>
            </w:r>
          </w:p>
        </w:tc>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~2020 – present</w:t>
            </w:r>
          </w:p>
        </w:tc>
        <w:tc>
          <w:tcPr>
            <w:tcW w:type="dxa" w:w="1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Free</w:t>
            </w:r>
          </w:p>
        </w:tc>
        <w:tc>
          <w:tcPr>
            <w:tcW w:type="dxa" w:w="24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Validation benchmark</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Persistence</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Time-shifted actuals</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N/A</w:t>
            </w:r>
          </w:p>
        </w:tc>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N/A</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Free</w:t>
            </w:r>
          </w:p>
        </w:tc>
        <w:tc>
          <w:tcPr>
            <w:tcW w:type="dxa" w:w="2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Baseline only</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NCAR (under NDA)</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Real NY utility-scale plants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Real</w:t>
            </w:r>
          </w:p>
        </w:tc>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Varies</w:t>
            </w:r>
          </w:p>
        </w:tc>
        <w:tc>
          <w:tcPr>
            <w:tcW w:type="dxa" w:w="1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On request</w:t>
            </w:r>
          </w:p>
        </w:tc>
        <w:tc>
          <w:tcPr>
            <w:tcW w:type="dxa" w:w="24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Validation set</w:t>
            </w:r>
          </w:p>
        </w:tc>
      </w:tr>
    </w:tbl>
    <w:p>
      <w:pPr>
        <w:spacing w:after="160" w:before="40"/>
      </w:pPr>
      <w:r>
        <w:rPr>
          <w:i/>
          <w:iCs/>
          <w:color w:val="595959"/>
          <w:sz w:val="18"/>
          <w:szCs w:val="18"/>
        </w:rPr>
        <w:t xml:space="preserve">Table 1 — Public data sources considered for building the time series.</w:t>
      </w:r>
    </w:p>
    <w:p>
      <w:pPr>
        <w:pStyle w:val="Heading2"/>
        <w:spacing w:after="140" w:before="280"/>
      </w:pPr>
      <w:r>
        <w:rPr>
          <w:b/>
          <w:bCs/>
          <w:color w:val="1F4E79"/>
          <w:sz w:val="26"/>
          <w:szCs w:val="26"/>
        </w:rPr>
        <w:t xml:space="preserve">2.1  Renewables.ninja</w:t>
      </w:r>
    </w:p>
    <w:p>
      <w:pPr>
        <w:spacing w:after="120" w:before="0"/>
        <w:jc w:val="both"/>
      </w:pPr>
      <w:r>
        <w:rPr>
          <w:sz w:val="22"/>
          <w:szCs w:val="22"/>
        </w:rPr>
        <w:t xml:space="preserve">An academic service (Imperial College London — Stefan Pfenninger and Iain Staffell) that takes a GPS coordinate and an installed capacity, and returns simulated hourly production. It uses NASA's MERRA-2 reanalysis plus a physical model (power curve for wind, PVlib for solar).</w:t>
      </w:r>
    </w:p>
    <w:p>
      <w:pPr>
        <w:pStyle w:val="ListParagraph"/>
        <w:numPr>
          <w:ilvl w:val="0"/>
          <w:numId w:val="2"/>
        </w:numPr>
        <w:spacing w:after="80" w:before="0"/>
        <w:jc w:val="both"/>
      </w:pPr>
      <w:r>
        <w:rPr>
          <w:b/>
          <w:bCs/>
          <w:sz w:val="22"/>
          <w:szCs w:val="22"/>
        </w:rPr>
        <w:t xml:space="preserve">Strengths</w:t>
      </w:r>
      <w:r>
        <w:rPr>
          <w:sz w:val="22"/>
          <w:szCs w:val="22"/>
        </w:rPr>
        <w:t xml:space="preserve">: published, cited thousands of times, empirically validated against real plants; free for academic use; simple and reproducible API; reanalysis data, i.e. what actually happened in the atmosphere.</w:t>
      </w:r>
    </w:p>
    <w:p>
      <w:pPr>
        <w:pStyle w:val="ListParagraph"/>
        <w:numPr>
          <w:ilvl w:val="0"/>
          <w:numId w:val="2"/>
        </w:numPr>
        <w:spacing w:after="80" w:before="0"/>
        <w:jc w:val="both"/>
      </w:pPr>
      <w:r>
        <w:rPr>
          <w:b/>
          <w:bCs/>
          <w:sz w:val="22"/>
          <w:szCs w:val="22"/>
        </w:rPr>
        <w:t xml:space="preserve">Limitations</w:t>
      </w:r>
      <w:r>
        <w:rPr>
          <w:sz w:val="22"/>
          <w:szCs w:val="22"/>
        </w:rPr>
        <w:t xml:space="preserve">: 50 calls/hour rate limit on the public API (bypassable via academic bulk download on request); ~50 km resolution, so two plants 20 km apart get essentially the same wind (we lose some of the fine-scale spatial structure); provides actuals only, no forecasts; plant-level parameters (exact power curve, solar orientation) are generic by default.</w:t>
      </w:r>
    </w:p>
    <w:p>
      <w:pPr>
        <w:pStyle w:val="ListParagraph"/>
        <w:numPr>
          <w:ilvl w:val="0"/>
          <w:numId w:val="2"/>
        </w:numPr>
        <w:spacing w:after="80" w:before="0"/>
        <w:jc w:val="both"/>
      </w:pPr>
      <w:r>
        <w:rPr>
          <w:b/>
          <w:bCs/>
          <w:i/>
          <w:iCs/>
          <w:sz w:val="22"/>
          <w:szCs w:val="22"/>
        </w:rPr>
        <w:t xml:space="preserve">Possible role</w:t>
      </w:r>
      <w:r>
        <w:rPr>
          <w:i/>
          <w:iCs/>
          <w:sz w:val="22"/>
          <w:szCs w:val="22"/>
        </w:rPr>
        <w:t xml:space="preserve">: source of credible, reproducible actuals.</w:t>
      </w:r>
    </w:p>
    <w:p>
      <w:pPr>
        <w:pStyle w:val="Heading2"/>
        <w:spacing w:after="140" w:before="280"/>
      </w:pPr>
      <w:r>
        <w:rPr>
          <w:b/>
          <w:bCs/>
          <w:color w:val="1F4E79"/>
          <w:sz w:val="26"/>
          <w:szCs w:val="26"/>
        </w:rPr>
        <w:t xml:space="preserve">2.2  HRRR archive (High-Resolution Rapid Refresh, NOAA)</w:t>
      </w:r>
    </w:p>
    <w:p>
      <w:pPr>
        <w:spacing w:after="120" w:before="0"/>
        <w:jc w:val="both"/>
      </w:pPr>
      <w:r>
        <w:rPr>
          <w:sz w:val="22"/>
          <w:szCs w:val="22"/>
        </w:rPr>
        <w:t xml:space="preserve">NOAA's operational forecasting model, 3 km resolution, running every hour and producing 0–18 h forecasts (every run) and 0–48 h forecasts (00, 06, 12, 18 UTC runs). Publicly archived on AWS Open Data since mid-2014.</w:t>
      </w:r>
    </w:p>
    <w:p>
      <w:pPr>
        <w:pStyle w:val="ListParagraph"/>
        <w:numPr>
          <w:ilvl w:val="0"/>
          <w:numId w:val="2"/>
        </w:numPr>
        <w:spacing w:after="80" w:before="0"/>
        <w:jc w:val="both"/>
      </w:pPr>
      <w:r>
        <w:rPr>
          <w:b/>
          <w:bCs/>
          <w:sz w:val="22"/>
          <w:szCs w:val="22"/>
        </w:rPr>
        <w:t xml:space="preserve">Strengths</w:t>
      </w:r>
      <w:r>
        <w:rPr>
          <w:sz w:val="22"/>
          <w:szCs w:val="22"/>
        </w:rPr>
        <w:t xml:space="preserve">: this is the forecasting model actually used in the US, so actual-vs-HRRR deviations capture real operational errors; 3 km resolution, easily good enough to distinguish neighbouring plants; free, accessible on S3 (s3://noaa-hrrr-bdp-pds/); contains everything we need — wind at 80 m and solar GHI/DNI/DHI.</w:t>
      </w:r>
    </w:p>
    <w:p>
      <w:pPr>
        <w:pStyle w:val="ListParagraph"/>
        <w:numPr>
          <w:ilvl w:val="0"/>
          <w:numId w:val="2"/>
        </w:numPr>
        <w:spacing w:after="80" w:before="0"/>
        <w:jc w:val="both"/>
      </w:pPr>
      <w:r>
        <w:rPr>
          <w:b/>
          <w:bCs/>
          <w:sz w:val="22"/>
          <w:szCs w:val="22"/>
        </w:rPr>
        <w:t xml:space="preserve">Limitations</w:t>
      </w:r>
      <w:r>
        <w:rPr>
          <w:sz w:val="22"/>
          <w:szCs w:val="22"/>
        </w:rPr>
        <w:t xml:space="preserve">: volume (several TB for 10 years over the full CONUS, but we can extract only the grid points around NY and bring it down to ~10 GB); GRIB2 format (requires cfgrib/xarray or wgrib2); physical conversion to do ourselves (wind → power, GHI → power via PVlib); 3–5 days of careful coding plus hours of downloads; the AWS archive only goes back to July 2014.</w:t>
      </w:r>
    </w:p>
    <w:p>
      <w:pPr>
        <w:pStyle w:val="ListParagraph"/>
        <w:numPr>
          <w:ilvl w:val="0"/>
          <w:numId w:val="2"/>
        </w:numPr>
        <w:spacing w:after="80" w:before="0"/>
        <w:jc w:val="both"/>
      </w:pPr>
      <w:r>
        <w:rPr>
          <w:b/>
          <w:bCs/>
          <w:i/>
          <w:iCs/>
          <w:sz w:val="22"/>
          <w:szCs w:val="22"/>
        </w:rPr>
        <w:t xml:space="preserve">Possible role</w:t>
      </w:r>
      <w:r>
        <w:rPr>
          <w:i/>
          <w:iCs/>
          <w:sz w:val="22"/>
          <w:szCs w:val="22"/>
        </w:rPr>
        <w:t xml:space="preserve">: source of forecasts that are physically consistent with MERRA-2 actuals; and potentially a source of actuals too, if we use the F00 analysis run (the ‘nowcast’) instead of the forecast runs.</w:t>
      </w:r>
    </w:p>
    <w:p>
      <w:pPr>
        <w:pStyle w:val="Heading2"/>
        <w:spacing w:after="140" w:before="280"/>
      </w:pPr>
      <w:r>
        <w:rPr>
          <w:b/>
          <w:bCs/>
          <w:color w:val="1F4E79"/>
          <w:sz w:val="26"/>
          <w:szCs w:val="26"/>
        </w:rPr>
        <w:t xml:space="preserve">2.3  ERA5 (ECMWF)</w:t>
      </w:r>
    </w:p>
    <w:p>
      <w:pPr>
        <w:spacing w:after="120" w:before="0"/>
        <w:jc w:val="both"/>
      </w:pPr>
      <w:r>
        <w:rPr>
          <w:sz w:val="22"/>
          <w:szCs w:val="22"/>
        </w:rPr>
        <w:t xml:space="preserve">The European reanalysis, ~30 km resolution, hourly, 1940 to present. The ECMWF counterpart of MERRA-2 — more recent and generally considered more accurate for wind.</w:t>
      </w:r>
    </w:p>
    <w:p>
      <w:pPr>
        <w:pStyle w:val="ListParagraph"/>
        <w:numPr>
          <w:ilvl w:val="0"/>
          <w:numId w:val="2"/>
        </w:numPr>
        <w:spacing w:after="80" w:before="0"/>
        <w:jc w:val="both"/>
      </w:pPr>
      <w:r>
        <w:rPr>
          <w:b/>
          <w:bCs/>
          <w:sz w:val="22"/>
          <w:szCs w:val="22"/>
        </w:rPr>
        <w:t xml:space="preserve">Strengths</w:t>
      </w:r>
      <w:r>
        <w:rPr>
          <w:sz w:val="22"/>
          <w:szCs w:val="22"/>
        </w:rPr>
        <w:t xml:space="preserve">: freely available via the Copernicus Climate Data Store (CDS); enormous historical coverage; official Python API (cdsapi).</w:t>
      </w:r>
    </w:p>
    <w:p>
      <w:pPr>
        <w:pStyle w:val="ListParagraph"/>
        <w:numPr>
          <w:ilvl w:val="0"/>
          <w:numId w:val="2"/>
        </w:numPr>
        <w:spacing w:after="80" w:before="0"/>
        <w:jc w:val="both"/>
      </w:pPr>
      <w:r>
        <w:rPr>
          <w:b/>
          <w:bCs/>
          <w:sz w:val="22"/>
          <w:szCs w:val="22"/>
        </w:rPr>
        <w:t xml:space="preserve">Limitations</w:t>
      </w:r>
      <w:r>
        <w:rPr>
          <w:sz w:val="22"/>
          <w:szCs w:val="22"/>
        </w:rPr>
        <w:t xml:space="preserve">: 30 km resolution, slightly better than MERRA-2 but still coarse; the wind → power and GHI → power conversions are on us; it is a reanalysis, so actuals, not forecasts; downloads are slow (CDS queue), from hours to days depending on load.</w:t>
      </w:r>
    </w:p>
    <w:p>
      <w:pPr>
        <w:pStyle w:val="ListParagraph"/>
        <w:numPr>
          <w:ilvl w:val="0"/>
          <w:numId w:val="2"/>
        </w:numPr>
        <w:spacing w:after="80" w:before="0"/>
        <w:jc w:val="both"/>
      </w:pPr>
      <w:r>
        <w:rPr>
          <w:b/>
          <w:bCs/>
          <w:i/>
          <w:iCs/>
          <w:sz w:val="22"/>
          <w:szCs w:val="22"/>
        </w:rPr>
        <w:t xml:space="preserve">Possible role</w:t>
      </w:r>
      <w:r>
        <w:rPr>
          <w:i/>
          <w:iCs/>
          <w:sz w:val="22"/>
          <w:szCs w:val="22"/>
        </w:rPr>
        <w:t xml:space="preserve">: alternative to Renewables.ninja for actuals, if we want tighter control over the physical model.</w:t>
      </w:r>
    </w:p>
    <w:p>
      <w:pPr>
        <w:pStyle w:val="Heading2"/>
        <w:spacing w:after="140" w:before="280"/>
      </w:pPr>
      <w:r>
        <w:rPr>
          <w:b/>
          <w:bCs/>
          <w:color w:val="1F4E79"/>
          <w:sz w:val="26"/>
          <w:szCs w:val="26"/>
        </w:rPr>
        <w:t xml:space="preserve">2.4  NYISO published zonal totals</w:t>
      </w:r>
    </w:p>
    <w:p>
      <w:pPr>
        <w:spacing w:after="120" w:before="0"/>
        <w:jc w:val="both"/>
      </w:pPr>
      <w:r>
        <w:rPr>
          <w:sz w:val="22"/>
          <w:szCs w:val="22"/>
        </w:rPr>
        <w:t xml:space="preserve">NYISO publishes in its Real-Time Fuel Mix report a total ‘Wind’ and ‘Other Renewables’ (which includes solar) production for the full NYCA, every 5 minutes. Since around 2020 there is also a day-ahead wind/solar forecast at the NYCA level.</w:t>
      </w:r>
    </w:p>
    <w:p>
      <w:pPr>
        <w:pStyle w:val="ListParagraph"/>
        <w:numPr>
          <w:ilvl w:val="0"/>
          <w:numId w:val="2"/>
        </w:numPr>
        <w:spacing w:after="80" w:before="0"/>
        <w:jc w:val="both"/>
      </w:pPr>
      <w:r>
        <w:rPr>
          <w:b/>
          <w:bCs/>
          <w:sz w:val="22"/>
          <w:szCs w:val="22"/>
        </w:rPr>
        <w:t xml:space="preserve">Strengths</w:t>
      </w:r>
      <w:r>
        <w:rPr>
          <w:sz w:val="22"/>
          <w:szCs w:val="22"/>
        </w:rPr>
        <w:t xml:space="preserve">: ground truth — literally the MW that flowed on the grid; forecast and actual come from the same operator, so consistency is perfect by construction; free and directly downloadable.</w:t>
      </w:r>
    </w:p>
    <w:p>
      <w:pPr>
        <w:pStyle w:val="ListParagraph"/>
        <w:numPr>
          <w:ilvl w:val="0"/>
          <w:numId w:val="2"/>
        </w:numPr>
        <w:spacing w:after="80" w:before="0"/>
        <w:jc w:val="both"/>
      </w:pPr>
      <w:r>
        <w:rPr>
          <w:b/>
          <w:bCs/>
          <w:sz w:val="22"/>
          <w:szCs w:val="22"/>
        </w:rPr>
        <w:t xml:space="preserve">Limitations</w:t>
      </w:r>
      <w:r>
        <w:rPr>
          <w:sz w:val="22"/>
          <w:szCs w:val="22"/>
        </w:rPr>
        <w:t xml:space="preserve">: no per-plant, not even per-zone granularity — only NYCA totals. This destroys the whole point of modelling 47 plants separately; renewable forecasts have limited history (since ~2020); does not fit the GEMINI framework which relies on spatial structure.</w:t>
      </w:r>
    </w:p>
    <w:p>
      <w:pPr>
        <w:pStyle w:val="ListParagraph"/>
        <w:numPr>
          <w:ilvl w:val="0"/>
          <w:numId w:val="2"/>
        </w:numPr>
        <w:spacing w:after="80" w:before="0"/>
        <w:jc w:val="both"/>
      </w:pPr>
      <w:r>
        <w:rPr>
          <w:b/>
          <w:bCs/>
          <w:i/>
          <w:iCs/>
          <w:sz w:val="22"/>
          <w:szCs w:val="22"/>
        </w:rPr>
        <w:t xml:space="preserve">Possible role</w:t>
      </w:r>
      <w:r>
        <w:rPr>
          <w:i/>
          <w:iCs/>
          <w:sz w:val="22"/>
          <w:szCs w:val="22"/>
        </w:rPr>
        <w:t xml:space="preserve">: validation benchmark. Whatever source we pick, the sum of our 47 plants should be close to the NYISO published total.</w:t>
      </w:r>
    </w:p>
    <w:p>
      <w:pPr>
        <w:pStyle w:val="Heading2"/>
        <w:spacing w:after="140" w:before="280"/>
      </w:pPr>
      <w:r>
        <w:rPr>
          <w:b/>
          <w:bCs/>
          <w:color w:val="1F4E79"/>
          <w:sz w:val="26"/>
          <w:szCs w:val="26"/>
        </w:rPr>
        <w:t xml:space="preserve">2.5  Persistence / climatology as ‘forecast’</w:t>
      </w:r>
    </w:p>
    <w:p>
      <w:pPr>
        <w:spacing w:after="120" w:before="0"/>
        <w:jc w:val="both"/>
      </w:pPr>
      <w:r>
        <w:rPr>
          <w:sz w:val="22"/>
          <w:szCs w:val="22"/>
        </w:rPr>
        <w:t xml:space="preserve">Instead of a real numerical model, we would use as ‘forecast’ either the value observed the previous day at the same hour (persistence), or the historical average for that hour of the year (climatology).</w:t>
      </w:r>
    </w:p>
    <w:p>
      <w:pPr>
        <w:pStyle w:val="ListParagraph"/>
        <w:numPr>
          <w:ilvl w:val="0"/>
          <w:numId w:val="2"/>
        </w:numPr>
        <w:spacing w:after="80" w:before="0"/>
        <w:jc w:val="both"/>
      </w:pPr>
      <w:r>
        <w:rPr>
          <w:b/>
          <w:bCs/>
          <w:sz w:val="22"/>
          <w:szCs w:val="22"/>
        </w:rPr>
        <w:t xml:space="preserve">Strengths</w:t>
      </w:r>
      <w:r>
        <w:rPr>
          <w:sz w:val="22"/>
          <w:szCs w:val="22"/>
        </w:rPr>
        <w:t xml:space="preserve">: zero extra work — it is just a time shift applied to the actuals; reproducible and transparent.</w:t>
      </w:r>
    </w:p>
    <w:p>
      <w:pPr>
        <w:pStyle w:val="ListParagraph"/>
        <w:numPr>
          <w:ilvl w:val="0"/>
          <w:numId w:val="2"/>
        </w:numPr>
        <w:spacing w:after="80" w:before="0"/>
        <w:jc w:val="both"/>
      </w:pPr>
      <w:r>
        <w:rPr>
          <w:b/>
          <w:bCs/>
          <w:sz w:val="22"/>
          <w:szCs w:val="22"/>
        </w:rPr>
        <w:t xml:space="preserve">Fundamental limitations</w:t>
      </w:r>
      <w:r>
        <w:rPr>
          <w:sz w:val="22"/>
          <w:szCs w:val="22"/>
        </w:rPr>
        <w:t xml:space="preserve">: this is not a real forecast. Errors are huge and biased in a completely different way from a real operational forecast. Deviation distributions will be much wider than reality → PGScen scenarios will be over-dispersed → confidence intervals will be inflated → conclusions about grid management will be wrong in the wrong direction (overly conservative). And in the Carmona &amp; Yang paper, the whole GPD treatment of heavy tails only makes sense because real forecast errors have heavy tails — persistence errors do not, at least not in the same way. GPD would not fit, and the extreme scenarios would be meaningless.</w:t>
      </w:r>
    </w:p>
    <w:p>
      <w:pPr>
        <w:pStyle w:val="ListParagraph"/>
        <w:numPr>
          <w:ilvl w:val="0"/>
          <w:numId w:val="2"/>
        </w:numPr>
        <w:spacing w:after="80" w:before="0"/>
        <w:jc w:val="both"/>
      </w:pPr>
      <w:r>
        <w:rPr>
          <w:b/>
          <w:bCs/>
          <w:i/>
          <w:iCs/>
          <w:sz w:val="22"/>
          <w:szCs w:val="22"/>
        </w:rPr>
        <w:t xml:space="preserve">Possible role</w:t>
      </w:r>
      <w:r>
        <w:rPr>
          <w:i/>
          <w:iCs/>
          <w:sz w:val="22"/>
          <w:szCs w:val="22"/>
        </w:rPr>
        <w:t xml:space="preserve">: baseline only, for comparison. Not a serious experimental foundation.</w:t>
      </w:r>
    </w:p>
    <w:p>
      <w:pPr>
        <w:pStyle w:val="Heading1"/>
        <w:spacing w:after="180" w:before="360"/>
      </w:pPr>
      <w:r>
        <w:rPr>
          <w:b/>
          <w:bCs/>
          <w:color w:val="1F4E79"/>
          <w:sz w:val="32"/>
          <w:szCs w:val="32"/>
        </w:rPr>
        <w:t xml:space="preserve">3. Physically consistent actual / forecast pairs</w:t>
      </w:r>
    </w:p>
    <w:p>
      <w:pPr>
        <w:spacing w:after="120" w:before="0"/>
        <w:jc w:val="both"/>
      </w:pPr>
      <w:r>
        <w:rPr>
          <w:sz w:val="22"/>
          <w:szCs w:val="22"/>
        </w:rPr>
        <w:t xml:space="preserve">With the catalogue laid out, here are the combinations that make physical sense, ordered by decreasing rigour:</w:t>
      </w:r>
    </w:p>
    <w:p>
      <w:pPr>
        <w:pStyle w:val="Heading2"/>
        <w:spacing w:after="140" w:before="280"/>
      </w:pPr>
      <w:r>
        <w:rPr>
          <w:b/>
          <w:bCs/>
          <w:color w:val="1F4E79"/>
          <w:sz w:val="26"/>
          <w:szCs w:val="26"/>
        </w:rPr>
        <w:t xml:space="preserve">3.1  Option A — Reanalysis actuals + HRRR forecasts</w:t>
      </w:r>
    </w:p>
    <w:p>
      <w:pPr>
        <w:pStyle w:val="ListParagraph"/>
        <w:numPr>
          <w:ilvl w:val="0"/>
          <w:numId w:val="2"/>
        </w:numPr>
        <w:spacing w:after="80" w:before="0"/>
        <w:jc w:val="both"/>
      </w:pPr>
      <w:r>
        <w:rPr>
          <w:b/>
          <w:bCs/>
          <w:sz w:val="22"/>
          <w:szCs w:val="22"/>
        </w:rPr>
        <w:t xml:space="preserve">Actuals</w:t>
      </w:r>
      <w:r>
        <w:rPr>
          <w:sz w:val="22"/>
          <w:szCs w:val="22"/>
        </w:rPr>
        <w:t xml:space="preserve">: Renewables.ninja (MERRA-2 + internal physical model), or raw ERA5 with in-house conversion.</w:t>
      </w:r>
    </w:p>
    <w:p>
      <w:pPr>
        <w:pStyle w:val="ListParagraph"/>
        <w:numPr>
          <w:ilvl w:val="0"/>
          <w:numId w:val="2"/>
        </w:numPr>
        <w:spacing w:after="80" w:before="0"/>
        <w:jc w:val="both"/>
      </w:pPr>
      <w:r>
        <w:rPr>
          <w:b/>
          <w:bCs/>
          <w:sz w:val="22"/>
          <w:szCs w:val="22"/>
        </w:rPr>
        <w:t xml:space="preserve">Forecasts</w:t>
      </w:r>
      <w:r>
        <w:rPr>
          <w:sz w:val="22"/>
          <w:szCs w:val="22"/>
        </w:rPr>
        <w:t xml:space="preserve">: HRRR archive on AWS, extract the 18:00 UTC J−1 run, horizons 10–33 h to cover day J.</w:t>
      </w:r>
    </w:p>
    <w:p>
      <w:pPr>
        <w:spacing w:after="120" w:before="0"/>
        <w:jc w:val="both"/>
      </w:pPr>
      <w:r>
        <w:rPr>
          <w:b/>
          <w:bCs/>
          <w:sz w:val="22"/>
          <w:szCs w:val="22"/>
        </w:rPr>
        <w:t xml:space="preserve">Physical consistency</w:t>
      </w:r>
      <w:r>
        <w:rPr>
          <w:sz w:val="22"/>
          <w:szCs w:val="22"/>
        </w:rPr>
        <w:t xml:space="preserve">: good but not perfect. Actuals come from MERRA-2 (~50 km), forecasts from HRRR (3 km). They are not guaranteed to converge to the same values even at ‘horizon zero’. In practice the deviations will capture both the true operational error </w:t>
      </w:r>
      <w:r>
        <w:rPr>
          <w:i/>
          <w:iCs/>
          <w:sz w:val="22"/>
          <w:szCs w:val="22"/>
        </w:rPr>
        <w:t xml:space="preserve">and</w:t>
      </w:r>
      <w:r>
        <w:rPr>
          <w:sz w:val="22"/>
          <w:szCs w:val="22"/>
        </w:rPr>
        <w:t xml:space="preserve"> a systematic bias between MERRA-2 and HRRR. Still defensible — this is what many papers do.</w:t>
      </w:r>
    </w:p>
    <w:p>
      <w:pPr>
        <w:spacing w:after="120" w:before="0"/>
        <w:jc w:val="both"/>
      </w:pPr>
      <w:r>
        <w:rPr>
          <w:b/>
          <w:bCs/>
          <w:sz w:val="22"/>
          <w:szCs w:val="22"/>
        </w:rPr>
        <w:t xml:space="preserve">Variant A'</w:t>
      </w:r>
      <w:r>
        <w:rPr>
          <w:sz w:val="22"/>
          <w:szCs w:val="22"/>
        </w:rPr>
        <w:t xml:space="preserve">: use HRRR F00 (the analysis run, horizon 0 h) as the ‘actual’ and HRRR F24 (horizon 24 h from the previous day's run) as the ‘forecast’. Both come from the same model → maximum consistency. This is the cleanest approach intellectually. Drawback: the ‘actual’ is a synthetic analysis, not an observation.</w:t>
      </w:r>
    </w:p>
    <w:p>
      <w:pPr>
        <w:pStyle w:val="ListParagraph"/>
        <w:numPr>
          <w:ilvl w:val="0"/>
          <w:numId w:val="2"/>
        </w:numPr>
        <w:spacing w:after="80" w:before="0"/>
        <w:jc w:val="both"/>
      </w:pPr>
      <w:r>
        <w:rPr>
          <w:b/>
          <w:bCs/>
          <w:sz w:val="22"/>
          <w:szCs w:val="22"/>
        </w:rPr>
        <w:t xml:space="preserve">Effort</w:t>
      </w:r>
      <w:r>
        <w:rPr>
          <w:sz w:val="22"/>
          <w:szCs w:val="22"/>
        </w:rPr>
        <w:t xml:space="preserve">: about 5 to 7 days of work. The bulk is HRRR ingestion — GRIB2 handling, extraction at the 47 points, handling 10 years × 365 days × 24 runs ≈ 85,000 files, even if we only keep one run per day.</w:t>
      </w:r>
    </w:p>
    <w:p>
      <w:pPr>
        <w:pStyle w:val="ListParagraph"/>
        <w:numPr>
          <w:ilvl w:val="0"/>
          <w:numId w:val="2"/>
        </w:numPr>
        <w:spacing w:after="80" w:before="0"/>
        <w:jc w:val="both"/>
      </w:pPr>
      <w:r>
        <w:rPr>
          <w:b/>
          <w:bCs/>
          <w:sz w:val="22"/>
          <w:szCs w:val="22"/>
        </w:rPr>
        <w:t xml:space="preserve">Final volume</w:t>
      </w:r>
      <w:r>
        <w:rPr>
          <w:sz w:val="22"/>
          <w:szCs w:val="22"/>
        </w:rPr>
        <w:t xml:space="preserve">: ~200 MB of CSV.</w:t>
      </w:r>
    </w:p>
    <w:p>
      <w:pPr>
        <w:pStyle w:val="Heading2"/>
        <w:spacing w:after="140" w:before="280"/>
      </w:pPr>
      <w:r>
        <w:rPr>
          <w:b/>
          <w:bCs/>
          <w:color w:val="1F4E79"/>
          <w:sz w:val="26"/>
          <w:szCs w:val="26"/>
        </w:rPr>
        <w:t xml:space="preserve">3.2  Option B — Reanalysis actuals + persistence forecasts</w:t>
      </w:r>
    </w:p>
    <w:p>
      <w:pPr>
        <w:pStyle w:val="ListParagraph"/>
        <w:numPr>
          <w:ilvl w:val="0"/>
          <w:numId w:val="2"/>
        </w:numPr>
        <w:spacing w:after="80" w:before="0"/>
        <w:jc w:val="both"/>
      </w:pPr>
      <w:r>
        <w:rPr>
          <w:b/>
          <w:bCs/>
          <w:sz w:val="22"/>
          <w:szCs w:val="22"/>
        </w:rPr>
        <w:t xml:space="preserve">Actuals</w:t>
      </w:r>
      <w:r>
        <w:rPr>
          <w:sz w:val="22"/>
          <w:szCs w:val="22"/>
        </w:rPr>
        <w:t xml:space="preserve">: Renewables.ninja or ERA5.</w:t>
      </w:r>
    </w:p>
    <w:p>
      <w:pPr>
        <w:pStyle w:val="ListParagraph"/>
        <w:numPr>
          <w:ilvl w:val="0"/>
          <w:numId w:val="2"/>
        </w:numPr>
        <w:spacing w:after="80" w:before="0"/>
        <w:jc w:val="both"/>
      </w:pPr>
      <w:r>
        <w:rPr>
          <w:b/>
          <w:bCs/>
          <w:sz w:val="22"/>
          <w:szCs w:val="22"/>
        </w:rPr>
        <w:t xml:space="preserve">Forecasts</w:t>
      </w:r>
      <w:r>
        <w:rPr>
          <w:sz w:val="22"/>
          <w:szCs w:val="22"/>
        </w:rPr>
        <w:t xml:space="preserve">: forecast(t) = actual(t − 24h).</w:t>
      </w:r>
    </w:p>
    <w:p>
      <w:pPr>
        <w:spacing w:after="120" w:before="0"/>
        <w:jc w:val="both"/>
      </w:pPr>
      <w:r>
        <w:rPr>
          <w:b/>
          <w:bCs/>
          <w:sz w:val="22"/>
          <w:szCs w:val="22"/>
        </w:rPr>
        <w:t xml:space="preserve">Physical consistency</w:t>
      </w:r>
      <w:r>
        <w:rPr>
          <w:sz w:val="22"/>
          <w:szCs w:val="22"/>
        </w:rPr>
        <w:t xml:space="preserve">: consistent by construction (same data, shifted), but not a realistic forecast. Deviations are </w:t>
      </w:r>
      <w:r>
        <w:rPr>
          <w:b/>
          <w:bCs/>
          <w:sz w:val="22"/>
          <w:szCs w:val="22"/>
        </w:rPr>
        <w:t xml:space="preserve">over-dispersed</w:t>
      </w:r>
      <w:r>
        <w:rPr>
          <w:sz w:val="22"/>
          <w:szCs w:val="22"/>
        </w:rPr>
        <w:t xml:space="preserve"> relative to reality.</w:t>
      </w:r>
    </w:p>
    <w:p>
      <w:pPr>
        <w:pStyle w:val="ListParagraph"/>
        <w:numPr>
          <w:ilvl w:val="0"/>
          <w:numId w:val="2"/>
        </w:numPr>
        <w:spacing w:after="80" w:before="0"/>
        <w:jc w:val="both"/>
      </w:pPr>
      <w:r>
        <w:rPr>
          <w:b/>
          <w:bCs/>
          <w:sz w:val="22"/>
          <w:szCs w:val="22"/>
        </w:rPr>
        <w:t xml:space="preserve">Effort</w:t>
      </w:r>
      <w:r>
        <w:rPr>
          <w:sz w:val="22"/>
          <w:szCs w:val="22"/>
        </w:rPr>
        <w:t xml:space="preserve">: 1 to 2 days.</w:t>
      </w:r>
    </w:p>
    <w:p>
      <w:pPr>
        <w:pStyle w:val="ListParagraph"/>
        <w:numPr>
          <w:ilvl w:val="0"/>
          <w:numId w:val="2"/>
        </w:numPr>
        <w:spacing w:after="80" w:before="0"/>
        <w:jc w:val="both"/>
      </w:pPr>
      <w:r>
        <w:rPr>
          <w:b/>
          <w:bCs/>
          <w:sz w:val="22"/>
          <w:szCs w:val="22"/>
        </w:rPr>
        <w:t xml:space="preserve">Academic defensibility</w:t>
      </w:r>
      <w:r>
        <w:rPr>
          <w:sz w:val="22"/>
          <w:szCs w:val="22"/>
        </w:rPr>
        <w:t xml:space="preserve">: weak. Cannot be published as ‘realistic NYISO scenarios’. Useful only as a baseline: ‘here is what we get with a naive forecast vs a real forecast’.</w:t>
      </w:r>
    </w:p>
    <w:p>
      <w:pPr>
        <w:pStyle w:val="Heading2"/>
        <w:spacing w:after="140" w:before="280"/>
      </w:pPr>
      <w:r>
        <w:rPr>
          <w:b/>
          <w:bCs/>
          <w:color w:val="1F4E79"/>
          <w:sz w:val="26"/>
          <w:szCs w:val="26"/>
        </w:rPr>
        <w:t xml:space="preserve">3.3  Option C — HRRR on both sides (F00 analysis + F24 forecast)</w:t>
      </w:r>
    </w:p>
    <w:p>
      <w:pPr>
        <w:pStyle w:val="ListParagraph"/>
        <w:numPr>
          <w:ilvl w:val="0"/>
          <w:numId w:val="2"/>
        </w:numPr>
        <w:spacing w:after="80" w:before="0"/>
        <w:jc w:val="both"/>
      </w:pPr>
      <w:r>
        <w:rPr>
          <w:b/>
          <w:bCs/>
          <w:sz w:val="22"/>
          <w:szCs w:val="22"/>
        </w:rPr>
        <w:t xml:space="preserve">Actuals</w:t>
      </w:r>
      <w:r>
        <w:rPr>
          <w:sz w:val="22"/>
          <w:szCs w:val="22"/>
        </w:rPr>
        <w:t xml:space="preserve">: HRRR F00, 00 UTC run of day J (the analysis — best atmospheric estimate at that time).</w:t>
      </w:r>
    </w:p>
    <w:p>
      <w:pPr>
        <w:pStyle w:val="ListParagraph"/>
        <w:numPr>
          <w:ilvl w:val="0"/>
          <w:numId w:val="2"/>
        </w:numPr>
        <w:spacing w:after="80" w:before="0"/>
        <w:jc w:val="both"/>
      </w:pPr>
      <w:r>
        <w:rPr>
          <w:b/>
          <w:bCs/>
          <w:sz w:val="22"/>
          <w:szCs w:val="22"/>
        </w:rPr>
        <w:t xml:space="preserve">Forecasts</w:t>
      </w:r>
      <w:r>
        <w:rPr>
          <w:sz w:val="22"/>
          <w:szCs w:val="22"/>
        </w:rPr>
        <w:t xml:space="preserve">: HRRR F24, 00 UTC run of J−1 (24 h horizon).</w:t>
      </w:r>
    </w:p>
    <w:p>
      <w:pPr>
        <w:spacing w:after="120" w:before="0"/>
        <w:jc w:val="both"/>
      </w:pPr>
      <w:r>
        <w:rPr>
          <w:b/>
          <w:bCs/>
          <w:sz w:val="22"/>
          <w:szCs w:val="22"/>
        </w:rPr>
        <w:t xml:space="preserve">Physical consistency</w:t>
      </w:r>
      <w:r>
        <w:rPr>
          <w:sz w:val="22"/>
          <w:szCs w:val="22"/>
        </w:rPr>
        <w:t xml:space="preserve">: </w:t>
      </w:r>
      <w:r>
        <w:rPr>
          <w:b/>
          <w:bCs/>
          <w:sz w:val="22"/>
          <w:szCs w:val="22"/>
        </w:rPr>
        <w:t xml:space="preserve">maximum</w:t>
      </w:r>
      <w:r>
        <w:rPr>
          <w:sz w:val="22"/>
          <w:szCs w:val="22"/>
        </w:rPr>
        <w:t xml:space="preserve">. Both come from the same model, on the same 3 km grid. Actual-forecast deviations capture exactly HRRR's forecast error, which is precisely what we want to model.</w:t>
      </w:r>
    </w:p>
    <w:p>
      <w:pPr>
        <w:pStyle w:val="ListParagraph"/>
        <w:numPr>
          <w:ilvl w:val="0"/>
          <w:numId w:val="2"/>
        </w:numPr>
        <w:spacing w:after="80" w:before="0"/>
        <w:jc w:val="both"/>
      </w:pPr>
      <w:r>
        <w:rPr>
          <w:b/>
          <w:bCs/>
          <w:sz w:val="22"/>
          <w:szCs w:val="22"/>
        </w:rPr>
        <w:t xml:space="preserve">Effort</w:t>
      </w:r>
      <w:r>
        <w:rPr>
          <w:sz w:val="22"/>
          <w:szCs w:val="22"/>
        </w:rPr>
        <w:t xml:space="preserve">: 5 to 7 days, identical to A because the bulk of the work is HRRR ingestion, done once.</w:t>
      </w:r>
    </w:p>
    <w:p>
      <w:pPr>
        <w:pStyle w:val="ListParagraph"/>
        <w:numPr>
          <w:ilvl w:val="0"/>
          <w:numId w:val="2"/>
        </w:numPr>
        <w:spacing w:after="80" w:before="0"/>
        <w:jc w:val="both"/>
      </w:pPr>
      <w:r>
        <w:rPr>
          <w:b/>
          <w:bCs/>
          <w:sz w:val="22"/>
          <w:szCs w:val="22"/>
        </w:rPr>
        <w:t xml:space="preserve">Academic defensibility</w:t>
      </w:r>
      <w:r>
        <w:rPr>
          <w:sz w:val="22"/>
          <w:szCs w:val="22"/>
        </w:rPr>
        <w:t xml:space="preserve">: excellent. This is the cleanest approach.</w:t>
      </w:r>
    </w:p>
    <w:p>
      <w:pPr>
        <w:pStyle w:val="ListParagraph"/>
        <w:numPr>
          <w:ilvl w:val="0"/>
          <w:numId w:val="2"/>
        </w:numPr>
        <w:spacing w:after="80" w:before="0"/>
        <w:jc w:val="both"/>
      </w:pPr>
      <w:r>
        <w:rPr>
          <w:b/>
          <w:bCs/>
          <w:sz w:val="22"/>
          <w:szCs w:val="22"/>
        </w:rPr>
        <w:t xml:space="preserve">Caveat</w:t>
      </w:r>
      <w:r>
        <w:rPr>
          <w:sz w:val="22"/>
          <w:szCs w:val="22"/>
        </w:rPr>
        <w:t xml:space="preserve">: we are no longer comparing against ‘real’ observed actuals, but against a model analysis. For wind and solar this is a non-issue — every actual source is a model anyway (we do not have a pyranometer at each plant).</w:t>
      </w:r>
    </w:p>
    <w:p>
      <w:pPr>
        <w:pStyle w:val="Heading2"/>
        <w:spacing w:after="140" w:before="280"/>
      </w:pPr>
      <w:r>
        <w:rPr>
          <w:b/>
          <w:bCs/>
          <w:color w:val="1F4E79"/>
          <w:sz w:val="26"/>
          <w:szCs w:val="26"/>
        </w:rPr>
        <w:t xml:space="preserve">3.4  Option D — NYISO zonal totals</w:t>
      </w:r>
    </w:p>
    <w:p>
      <w:pPr>
        <w:spacing w:after="120" w:before="0"/>
        <w:jc w:val="both"/>
      </w:pPr>
      <w:r>
        <w:rPr>
          <w:sz w:val="22"/>
          <w:szCs w:val="22"/>
        </w:rPr>
        <w:t xml:space="preserve">Already discussed in §2.4. To be eliminated if we want to keep per-plant granularity. Only worth considering if we pivot the whole project towards ‘generate scenarios for total NYISO wind’ instead of ‘for each plant’.</w:t>
      </w:r>
    </w:p>
    <w:p>
      <w:pPr>
        <w:pStyle w:val="Heading2"/>
        <w:spacing w:after="140" w:before="280"/>
      </w:pPr>
      <w:r>
        <w:rPr>
          <w:b/>
          <w:bCs/>
          <w:color w:val="1F4E79"/>
          <w:sz w:val="26"/>
          <w:szCs w:val="26"/>
        </w:rPr>
        <w:t xml:space="preserve">3.5  Option E — Historical NYSolarCast data via NCAR contact</w:t>
      </w:r>
    </w:p>
    <w:p>
      <w:pPr>
        <w:spacing w:after="120" w:before="0"/>
        <w:jc w:val="both"/>
      </w:pPr>
      <w:r>
        <w:rPr>
          <w:sz w:val="22"/>
          <w:szCs w:val="22"/>
        </w:rPr>
        <w:t xml:space="preserve">The NYSolarCast paper and EPRI reports mention that NCAR researchers had an archive of real solar production for a subset of NY utility-scale plants (provided under NDA by NYPA and Central Hudson). This is not public, but as a Princeton researcher you can email Jared Lee at NCAR (lead author, email on his UCAR profile) and ask whether the data can be shared for academic use.</w:t>
      </w:r>
    </w:p>
    <w:p>
      <w:pPr>
        <w:pStyle w:val="ListParagraph"/>
        <w:numPr>
          <w:ilvl w:val="0"/>
          <w:numId w:val="2"/>
        </w:numPr>
        <w:spacing w:after="80" w:before="0"/>
        <w:jc w:val="both"/>
      </w:pPr>
      <w:r>
        <w:rPr>
          <w:b/>
          <w:bCs/>
          <w:sz w:val="22"/>
          <w:szCs w:val="22"/>
        </w:rPr>
        <w:t xml:space="preserve">If it works</w:t>
      </w:r>
      <w:r>
        <w:rPr>
          <w:sz w:val="22"/>
          <w:szCs w:val="22"/>
        </w:rPr>
        <w:t xml:space="preserve">: you would get real observed actuals for a handful of NY plants (not 16, probably 5–10). It does not cover the whole need, but it provides a validation set to check that options A or C are realistic.</w:t>
      </w:r>
    </w:p>
    <w:p>
      <w:pPr>
        <w:pStyle w:val="ListParagraph"/>
        <w:numPr>
          <w:ilvl w:val="0"/>
          <w:numId w:val="2"/>
        </w:numPr>
        <w:spacing w:after="80" w:before="0"/>
        <w:jc w:val="both"/>
      </w:pPr>
      <w:r>
        <w:rPr>
          <w:b/>
          <w:bCs/>
          <w:sz w:val="22"/>
          <w:szCs w:val="22"/>
        </w:rPr>
        <w:t xml:space="preserve">If it does not work</w:t>
      </w:r>
      <w:r>
        <w:rPr>
          <w:sz w:val="22"/>
          <w:szCs w:val="22"/>
        </w:rPr>
        <w:t xml:space="preserve">: nothing lost; fall back to A or C.</w:t>
      </w:r>
    </w:p>
    <w:p>
      <w:pPr>
        <w:pStyle w:val="ListParagraph"/>
        <w:numPr>
          <w:ilvl w:val="0"/>
          <w:numId w:val="2"/>
        </w:numPr>
        <w:spacing w:after="80" w:before="0"/>
        <w:jc w:val="both"/>
      </w:pPr>
      <w:r>
        <w:rPr>
          <w:b/>
          <w:bCs/>
          <w:sz w:val="22"/>
          <w:szCs w:val="22"/>
        </w:rPr>
        <w:t xml:space="preserve">Effort</w:t>
      </w:r>
      <w:r>
        <w:rPr>
          <w:sz w:val="22"/>
          <w:szCs w:val="22"/>
        </w:rPr>
        <w:t xml:space="preserve">: one email. Typical response time: 1–4 weeks.</w:t>
      </w:r>
    </w:p>
    <w:p>
      <w:pPr>
        <w:pStyle w:val="Heading1"/>
        <w:spacing w:after="180" w:before="360"/>
      </w:pPr>
      <w:r>
        <w:rPr>
          <w:b/>
          <w:bCs/>
          <w:color w:val="1F4E79"/>
          <w:sz w:val="32"/>
          <w:szCs w:val="32"/>
        </w:rPr>
        <w:t xml:space="preserve">4.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1100"/>
        <w:gridCol w:w="900"/>
        <w:gridCol w:w="13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Option</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Actuals</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Forecasts</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Physical consistency</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Realism</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Effort</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b/>
                <w:bCs/>
                <w:color w:val="FFFFFF"/>
                <w:sz w:val="20"/>
                <w:szCs w:val="20"/>
              </w:rPr>
              <w:t xml:space="preserve">Publishable</w:t>
            </w:r>
          </w:p>
        </w:tc>
      </w:tr>
      <w:tr>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A</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Renewables.ninja</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HRRR archive</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Good</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High</w:t>
            </w:r>
          </w:p>
        </w:tc>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5–7 d</w:t>
            </w:r>
          </w:p>
        </w:tc>
        <w:tc>
          <w:tcPr>
            <w:tcW w:type="dxa" w:w="1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Yes</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A'</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HRRR F00</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HRRR F24</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Maximum</w:t>
            </w:r>
          </w:p>
        </w:tc>
        <w:tc>
          <w:tcPr>
            <w:tcW w:type="dxa" w:w="1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High</w:t>
            </w:r>
          </w:p>
        </w:tc>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5–7 d</w:t>
            </w:r>
          </w:p>
        </w:tc>
        <w:tc>
          <w:tcPr>
            <w:tcW w:type="dxa" w:w="1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Yes (cleanest)</w:t>
            </w:r>
          </w:p>
        </w:tc>
      </w:tr>
      <w:tr>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B</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Renewables.ninja</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Persistence</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OK by construction</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Low</w:t>
            </w:r>
          </w:p>
        </w:tc>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1–2 d</w:t>
            </w:r>
          </w:p>
        </w:tc>
        <w:tc>
          <w:tcPr>
            <w:tcW w:type="dxa" w:w="1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No</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C</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HRRR F00</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HRRR F24</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Maximum</w:t>
            </w:r>
          </w:p>
        </w:tc>
        <w:tc>
          <w:tcPr>
            <w:tcW w:type="dxa" w:w="1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High</w:t>
            </w:r>
          </w:p>
        </w:tc>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5–7 d</w:t>
            </w:r>
          </w:p>
        </w:tc>
        <w:tc>
          <w:tcPr>
            <w:tcW w:type="dxa" w:w="1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Yes (= A')</w:t>
            </w:r>
          </w:p>
        </w:tc>
      </w:tr>
      <w:tr>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D</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NYISO totals</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NYISO totals</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Perfect</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Real but aggregated</w:t>
            </w:r>
          </w:p>
        </w:tc>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1 d</w:t>
            </w:r>
          </w:p>
        </w:tc>
        <w:tc>
          <w:tcPr>
            <w:tcW w:type="dxa" w:w="1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Yes, loses granularity</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E</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NCAR (NDA)</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Pair with A or C</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Real</w:t>
            </w:r>
          </w:p>
        </w:tc>
        <w:tc>
          <w:tcPr>
            <w:tcW w:type="dxa" w:w="1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Maximum</w:t>
            </w:r>
          </w:p>
        </w:tc>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1 email + A/C</w:t>
            </w:r>
          </w:p>
        </w:tc>
        <w:tc>
          <w:tcPr>
            <w:tcW w:type="dxa" w:w="1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Yes</w:t>
            </w:r>
          </w:p>
        </w:tc>
      </w:tr>
    </w:tbl>
    <w:p>
      <w:pPr>
        <w:spacing w:after="160" w:before="40"/>
      </w:pPr>
      <w:r>
        <w:rPr>
          <w:i/>
          <w:iCs/>
          <w:color w:val="595959"/>
          <w:sz w:val="18"/>
          <w:szCs w:val="18"/>
        </w:rPr>
        <w:t xml:space="preserve">Table 2 — Option comparison. Note: A' and C are essentially the same approach seen from two angles. We merge them going forward under the name ‘HRRR-only’.</w:t>
      </w:r>
    </w:p>
    <w:p>
      <w:pPr>
        <w:pStyle w:val="Heading1"/>
        <w:spacing w:after="180" w:before="360"/>
      </w:pPr>
      <w:r>
        <w:rPr>
          <w:b/>
          <w:bCs/>
          <w:color w:val="1F4E79"/>
          <w:sz w:val="32"/>
          <w:szCs w:val="32"/>
        </w:rPr>
        <w:t xml:space="preserve">5. Honest read and recommendation</w:t>
      </w:r>
    </w:p>
    <w:p>
      <w:pPr>
        <w:spacing w:after="120" w:before="0"/>
        <w:jc w:val="both"/>
      </w:pPr>
      <w:r>
        <w:rPr>
          <w:sz w:val="22"/>
          <w:szCs w:val="22"/>
        </w:rPr>
        <w:t xml:space="preserve">If I were doing this project myself, here is what I would do and why:</w:t>
      </w:r>
    </w:p>
    <w:p>
      <w:pPr>
        <w:pStyle w:val="Heading3"/>
        <w:spacing w:after="100" w:before="220"/>
      </w:pPr>
      <w:r>
        <w:rPr>
          <w:b/>
          <w:bCs/>
          <w:color w:val="2E74B5"/>
          <w:sz w:val="22"/>
          <w:szCs w:val="22"/>
        </w:rPr>
        <w:t xml:space="preserve">Step 0 — email Jared Lee at NCAR today</w:t>
      </w:r>
    </w:p>
    <w:p>
      <w:pPr>
        <w:spacing w:after="120" w:before="0"/>
        <w:jc w:val="both"/>
      </w:pPr>
      <w:r>
        <w:rPr>
          <w:sz w:val="22"/>
          <w:szCs w:val="22"/>
        </w:rPr>
        <w:t xml:space="preserve">Cost: 15 minutes. Potential upside: a gold-standard validation set. It is asynchronous, so it runs in the background while we move forward on the rest.</w:t>
      </w:r>
    </w:p>
    <w:p>
      <w:pPr>
        <w:pStyle w:val="Heading3"/>
        <w:spacing w:after="100" w:before="220"/>
      </w:pPr>
      <w:r>
        <w:rPr>
          <w:b/>
          <w:bCs/>
          <w:color w:val="2E74B5"/>
          <w:sz w:val="22"/>
          <w:szCs w:val="22"/>
        </w:rPr>
        <w:t xml:space="preserve">Step 1 — build HRRR-only (Option A' / C)</w:t>
      </w:r>
    </w:p>
    <w:p>
      <w:pPr>
        <w:spacing w:after="120" w:before="0"/>
        <w:jc w:val="both"/>
      </w:pPr>
      <w:r>
        <w:rPr>
          <w:sz w:val="22"/>
          <w:szCs w:val="22"/>
        </w:rPr>
        <w:t xml:space="preserve">Reasons:</w:t>
      </w:r>
    </w:p>
    <w:p>
      <w:pPr>
        <w:pStyle w:val="ListParagraph"/>
        <w:numPr>
          <w:ilvl w:val="0"/>
          <w:numId w:val="2"/>
        </w:numPr>
        <w:spacing w:after="80" w:before="0"/>
        <w:jc w:val="both"/>
      </w:pPr>
      <w:r>
        <w:rPr>
          <w:sz w:val="22"/>
          <w:szCs w:val="22"/>
        </w:rPr>
        <w:t xml:space="preserve">Maximum physical consistency → PGScen results are interpretable.</w:t>
      </w:r>
    </w:p>
    <w:p>
      <w:pPr>
        <w:pStyle w:val="ListParagraph"/>
        <w:numPr>
          <w:ilvl w:val="0"/>
          <w:numId w:val="2"/>
        </w:numPr>
        <w:spacing w:after="80" w:before="0"/>
        <w:jc w:val="both"/>
      </w:pPr>
      <w:r>
        <w:rPr>
          <w:sz w:val="22"/>
          <w:szCs w:val="22"/>
        </w:rPr>
        <w:t xml:space="preserve">Single ingestion pipeline, no two sources to maintain.</w:t>
      </w:r>
    </w:p>
    <w:p>
      <w:pPr>
        <w:pStyle w:val="ListParagraph"/>
        <w:numPr>
          <w:ilvl w:val="0"/>
          <w:numId w:val="2"/>
        </w:numPr>
        <w:spacing w:after="80" w:before="0"/>
        <w:jc w:val="both"/>
      </w:pPr>
      <w:r>
        <w:rPr>
          <w:sz w:val="22"/>
          <w:szCs w:val="22"/>
        </w:rPr>
        <w:t xml:space="preserve">Defensible for publication without having to justify a MERRA-2 / HRRR mix.</w:t>
      </w:r>
    </w:p>
    <w:p>
      <w:pPr>
        <w:pStyle w:val="ListParagraph"/>
        <w:numPr>
          <w:ilvl w:val="0"/>
          <w:numId w:val="2"/>
        </w:numPr>
        <w:spacing w:after="80" w:before="0"/>
        <w:jc w:val="both"/>
      </w:pPr>
      <w:r>
        <w:rPr>
          <w:sz w:val="22"/>
          <w:szCs w:val="22"/>
        </w:rPr>
        <w:t xml:space="preserve">HRRR has counterparts elsewhere (AROME in Europe), so the approach is transferable if we ever extend the project.</w:t>
      </w:r>
    </w:p>
    <w:p>
      <w:pPr>
        <w:pStyle w:val="Heading3"/>
        <w:spacing w:after="100" w:before="220"/>
      </w:pPr>
      <w:r>
        <w:rPr>
          <w:b/>
          <w:bCs/>
          <w:color w:val="2E74B5"/>
          <w:sz w:val="22"/>
          <w:szCs w:val="22"/>
        </w:rPr>
        <w:t xml:space="preserve">Step 2 (optional, after validation) — add Renewables.ninja as a second actuals source</w:t>
      </w:r>
    </w:p>
    <w:p>
      <w:pPr>
        <w:spacing w:after="120" w:before="0"/>
        <w:jc w:val="both"/>
      </w:pPr>
      <w:r>
        <w:rPr>
          <w:sz w:val="22"/>
          <w:szCs w:val="22"/>
        </w:rPr>
        <w:t xml:space="preserve">For comparison. If the deviations </w:t>
      </w:r>
      <w:r>
        <w:rPr>
          <w:i/>
          <w:iCs/>
          <w:sz w:val="22"/>
          <w:szCs w:val="22"/>
        </w:rPr>
        <w:t xml:space="preserve">actual_ninja − forecast_HRRR</w:t>
      </w:r>
      <w:r>
        <w:rPr>
          <w:sz w:val="22"/>
          <w:szCs w:val="22"/>
        </w:rPr>
        <w:t xml:space="preserve"> and </w:t>
      </w:r>
      <w:r>
        <w:rPr>
          <w:i/>
          <w:iCs/>
          <w:sz w:val="22"/>
          <w:szCs w:val="22"/>
        </w:rPr>
        <w:t xml:space="preserve">actual_HRRR_F00 − forecast_HRRR_F24</w:t>
      </w:r>
      <w:r>
        <w:rPr>
          <w:sz w:val="22"/>
          <w:szCs w:val="22"/>
        </w:rPr>
        <w:t xml:space="preserve"> give similar distributions, we have double validation. Otherwise, we have discovered something interesting to discuss in the paper.</w:t>
      </w:r>
    </w:p>
    <w:p>
      <w:pPr>
        <w:pStyle w:val="Heading3"/>
        <w:spacing w:after="100" w:before="220"/>
      </w:pPr>
      <w:r>
        <w:rPr>
          <w:b/>
          <w:bCs/>
          <w:color w:val="2E74B5"/>
          <w:sz w:val="22"/>
          <w:szCs w:val="22"/>
        </w:rPr>
        <w:t xml:space="preserve">Why not B</w:t>
      </w:r>
    </w:p>
    <w:p>
      <w:pPr>
        <w:spacing w:after="120" w:before="0"/>
        <w:jc w:val="both"/>
      </w:pPr>
      <w:r>
        <w:rPr>
          <w:sz w:val="22"/>
          <w:szCs w:val="22"/>
        </w:rPr>
        <w:t xml:space="preserve">Persistence contaminates the whole GEMINI pipeline. The Carmona &amp; Yang paper justifies the GPD treatment by the presence of heavy tails in real forecast-error distributions. With persistence, the tails are not heavy in the same sense, GPD does not fit well, and the extreme scenarios become meaningless. We would be building a model that no longer tests the original paper.</w:t>
      </w:r>
    </w:p>
    <w:p>
      <w:pPr>
        <w:pStyle w:val="Heading3"/>
        <w:spacing w:after="100" w:before="220"/>
      </w:pPr>
      <w:r>
        <w:rPr>
          <w:b/>
          <w:bCs/>
          <w:color w:val="2E74B5"/>
          <w:sz w:val="22"/>
          <w:szCs w:val="22"/>
        </w:rPr>
        <w:t xml:space="preserve">Why not D alone</w:t>
      </w:r>
    </w:p>
    <w:p>
      <w:pPr>
        <w:spacing w:after="120" w:before="0"/>
        <w:jc w:val="both"/>
      </w:pPr>
      <w:r>
        <w:rPr>
          <w:sz w:val="22"/>
          <w:szCs w:val="22"/>
        </w:rPr>
        <w:t xml:space="preserve">We lose the whole reason for building the metadata pipeline. All the geolocation work on the 47 plants becomes moot if we aggregate everything into a single point.</w:t>
      </w:r>
    </w:p>
    <w:p>
      <w:pPr>
        <w:pStyle w:val="Heading1"/>
        <w:spacing w:after="180" w:before="360"/>
      </w:pPr>
      <w:r>
        <w:rPr>
          <w:b/>
          <w:bCs/>
          <w:color w:val="1F4E79"/>
          <w:sz w:val="32"/>
          <w:szCs w:val="32"/>
        </w:rPr>
        <w:t xml:space="preserve">6. Questions to frame the next step</w:t>
      </w:r>
    </w:p>
    <w:p>
      <w:pPr>
        <w:spacing w:after="120" w:before="0"/>
        <w:jc w:val="both"/>
      </w:pPr>
      <w:r>
        <w:rPr>
          <w:sz w:val="22"/>
          <w:szCs w:val="22"/>
        </w:rPr>
        <w:t xml:space="preserve">Three decisions to make so I can propose a concrete execution plan (scripts to write, order, validation checkpoints):</w:t>
      </w:r>
    </w:p>
    <w:p>
      <w:pPr>
        <w:pStyle w:val="Heading3"/>
        <w:spacing w:after="100" w:before="220"/>
      </w:pPr>
      <w:r>
        <w:rPr>
          <w:b/>
          <w:bCs/>
          <w:color w:val="2E74B5"/>
          <w:sz w:val="22"/>
          <w:szCs w:val="22"/>
        </w:rPr>
        <w:t xml:space="preserve">6.1  Target historical period</w:t>
      </w:r>
    </w:p>
    <w:p>
      <w:pPr>
        <w:spacing w:after="120" w:before="0"/>
        <w:jc w:val="both"/>
      </w:pPr>
      <w:r>
        <w:rPr>
          <w:sz w:val="22"/>
          <w:szCs w:val="22"/>
        </w:rPr>
        <w:t xml:space="preserve">Which years should we cover? HRRR starts in July 2014. Renewables.ninja goes back to 1980. If the goal is 2015–2024 (10 years), pure HRRR is entirely feasible. If the goal is 2010–2024, we need Renewables.ninja or ERA5 for the pre-2014 part.</w:t>
      </w:r>
    </w:p>
    <w:p>
      <w:pPr>
        <w:pStyle w:val="Heading3"/>
        <w:spacing w:after="100" w:before="220"/>
      </w:pPr>
      <w:r>
        <w:rPr>
          <w:b/>
          <w:bCs/>
          <w:color w:val="2E74B5"/>
          <w:sz w:val="22"/>
          <w:szCs w:val="22"/>
        </w:rPr>
        <w:t xml:space="preserve">6.2  Speed vs rigour</w:t>
      </w:r>
    </w:p>
    <w:p>
      <w:pPr>
        <w:spacing w:after="120" w:before="0"/>
        <w:jc w:val="both"/>
      </w:pPr>
      <w:r>
        <w:rPr>
          <w:sz w:val="22"/>
          <w:szCs w:val="22"/>
        </w:rPr>
        <w:t xml:space="preserve">Would you rather have quick actuals (Renewables.ninja) within 2 days and add HRRR forecasts later, or wait about a week and have a clean HRRR-only pipeline from the start?</w:t>
      </w:r>
    </w:p>
    <w:p>
      <w:pPr>
        <w:pStyle w:val="Heading3"/>
        <w:spacing w:after="100" w:before="220"/>
      </w:pPr>
      <w:r>
        <w:rPr>
          <w:b/>
          <w:bCs/>
          <w:color w:val="2E74B5"/>
          <w:sz w:val="22"/>
          <w:szCs w:val="22"/>
        </w:rPr>
        <w:t xml:space="preserve">6.3  Wind vs solar priority</w:t>
      </w:r>
    </w:p>
    <w:p>
      <w:pPr>
        <w:spacing w:after="120" w:before="0"/>
        <w:jc w:val="both"/>
      </w:pPr>
      <w:r>
        <w:rPr>
          <w:sz w:val="22"/>
          <w:szCs w:val="22"/>
        </w:rPr>
        <w:t xml:space="preserve">If we have to sequence the work, which one first? Wind is simpler (a single physical quantity — wind at 80 m — plus a power curve). Solar requires PVlib with orientation parameters we do not necessarily have, so we will need reasonable per-plant assumptions.</w:t>
      </w:r>
    </w:p>
    <w:p>
      <w:pPr>
        <w:spacing w:after="120" w:before="0"/>
        <w:jc w:val="both"/>
      </w:pPr>
      <w:r>
        <w:rPr>
          <w:b/>
          <w:bCs/>
          <w:sz w:val="22"/>
          <w:szCs w:val="22"/>
        </w:rPr>
        <w:t xml:space="preserve">Answer these three questions</w:t>
      </w:r>
      <w:r>
        <w:rPr>
          <w:sz w:val="22"/>
          <w:szCs w:val="22"/>
        </w:rPr>
        <w:t xml:space="preserve"> and I will draft a concrete execution plan: scripts to write, order of execution, and intermediate validation checkpoints.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Time-series sourcing decision: options and recommendation</dc:title>
  <dc:creator>PGScen-NYISO project</dc:creator>
  <cp:lastModifiedBy>Un-named</cp:lastModifiedBy>
  <cp:revision>1</cp:revision>
  <dcterms:created xsi:type="dcterms:W3CDTF">2026-04-10T14:52:41.729Z</dcterms:created>
  <dcterms:modified xsi:type="dcterms:W3CDTF">2026-04-10T14:52:41.729Z</dcterms:modified>
</cp:coreProperties>
</file>

<file path=docProps/custom.xml><?xml version="1.0" encoding="utf-8"?>
<Properties xmlns="http://schemas.openxmlformats.org/officeDocument/2006/custom-properties" xmlns:vt="http://schemas.openxmlformats.org/officeDocument/2006/docPropsVTypes"/>
</file>