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08" w:after="108"/>
        <w:ind w:left="0" w:right="0" w:hanging="0"/>
        <w:rPr/>
      </w:pPr>
      <w:bookmarkStart w:id="0" w:name="sub_110000"/>
      <w:r>
        <w:rPr/>
        <w:t>Т</w:t>
      </w:r>
      <w:bookmarkEnd w:id="0"/>
      <w:r>
        <w:rPr/>
        <w:t>ИПОВОЙ ДОГОВОР</w:t>
        <w:br/>
        <w:t>водоотведения</w:t>
      </w:r>
    </w:p>
    <w:tbl>
      <w:tblPr>
        <w:tblW w:w="102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7"/>
        <w:gridCol w:w="1401"/>
        <w:gridCol w:w="1400"/>
        <w:gridCol w:w="3640"/>
      </w:tblGrid>
      <w:tr>
        <w:trPr/>
        <w:tc>
          <w:tcPr>
            <w:tcW w:w="3777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__________________________</w:t>
            </w:r>
          </w:p>
        </w:tc>
        <w:tc>
          <w:tcPr>
            <w:tcW w:w="2801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"____" ____________ 20__ г.</w:t>
            </w:r>
          </w:p>
        </w:tc>
      </w:tr>
      <w:tr>
        <w:trPr/>
        <w:tc>
          <w:tcPr>
            <w:tcW w:w="3777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(место заключения договора)</w:t>
            </w:r>
          </w:p>
        </w:tc>
        <w:tc>
          <w:tcPr>
            <w:tcW w:w="2801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    </w:t>
            </w:r>
            <w:r>
              <w:rPr/>
              <w:t xml:space="preserve">Общество с ограниченной ответственностью «Брюховецкое предприятие отвода и очистки стоков» именуемое в дальнейшем </w:t>
            </w:r>
            <w:r>
              <w:rPr>
                <w:b/>
                <w:bCs/>
              </w:rPr>
              <w:t>Ресурсоснабжающей организацией</w:t>
            </w:r>
            <w:r>
              <w:rPr/>
              <w:t>, в лице директора Дьяченко Владимира Анатольевича, действующего на основании Устава, с одной стороны, и собственник жилого помещения 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(адрес, № помещения, почтовый адрес многоквартирного дома)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_____________________________________________________________________________________________________________________________________________________________________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(фамилия, имя, отчество (при наличии), паспортные данные, ИНН (при наличии)</w:t>
            </w:r>
            <w:r>
              <w:rPr/>
              <w:t>;</w:t>
            </w:r>
          </w:p>
        </w:tc>
      </w:tr>
      <w:tr>
        <w:trPr/>
        <w:tc>
          <w:tcPr>
            <w:tcW w:w="5178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дата рождения ____________________________</w:t>
            </w:r>
          </w:p>
        </w:tc>
        <w:tc>
          <w:tcPr>
            <w:tcW w:w="5040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место рождения 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адрес регистрации 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номер телефона ____________________, e-mail </w:t>
            </w:r>
            <w:r>
              <w:rPr>
                <w:i/>
                <w:iCs/>
              </w:rPr>
              <w:t>(при наличии)</w:t>
            </w:r>
            <w:r>
              <w:rPr/>
              <w:t xml:space="preserve"> 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именуемый в дальнейшем </w:t>
            </w:r>
            <w:r>
              <w:rPr>
                <w:b/>
                <w:bCs/>
              </w:rPr>
              <w:t>Потребителем</w:t>
            </w:r>
            <w:r>
              <w:rPr/>
              <w:t>, с другой стороны, совместно именуемые в дальнейшем сторонами, заключили настоящий договор о нижеследующем: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1" w:name="sub_111000"/>
            <w:bookmarkEnd w:id="1"/>
            <w:r>
              <w:rPr/>
              <w:t>I. Предмет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" w:name="sub_110001"/>
            <w:bookmarkEnd w:id="2"/>
            <w:r>
              <w:rPr/>
              <w:t>1. По настоящему договору ресурсоснабжающая организация обязуется предоставлять потребителю коммунальную услугу (коммунальные услуги) по водоотведению, в том числе потребляемую при содержании и использовании общего имущества в многоквартирном доме в случаях, предусмотренных законодательством Российской Федерации (далее - коммунальная услуга), а потребитель обязуется вносить ресурсоснабжающей организации плату за коммунальную услугу в сроки и в порядке, установленные законодательством Российской Федерации и настоящим договором, а также соблюдать иные требования, предусмотренные законодательством Российской Федерации и настоящим договором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2. Дата начала предоставления коммунальной услуги (коммунальных услуг) "___"________20___ 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" w:name="sub_112000"/>
            <w:bookmarkEnd w:id="3"/>
            <w:r>
              <w:rPr/>
              <w:t>II. Общие положения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" w:name="sub_110003"/>
            <w:r>
              <w:rPr/>
              <w:t>3. Параметры жилого помещения потребителя: площадь жилого помещения _____ м</w:t>
            </w:r>
            <w:r>
              <w:rPr>
                <w:vertAlign w:val="superscript"/>
              </w:rPr>
              <w:t> 2</w:t>
            </w:r>
            <w:bookmarkEnd w:id="4"/>
            <w:r>
              <w:rPr/>
              <w:t>, количество комнат ____ (далее - жилое помещение потребителя). Количество постоянно проживающих ____ человек, количество собственников ______ человек.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" w:name="sub_110004"/>
            <w:r>
              <w:rPr/>
              <w:t>4. Параметры многоквартирного дома, в котором расположено жилое помещение потребителя: общая площадь помещений, входящих в состав общего имущества _________ м</w:t>
            </w:r>
            <w:r>
              <w:rPr>
                <w:vertAlign w:val="superscript"/>
              </w:rPr>
              <w:t> 2</w:t>
            </w:r>
            <w:r>
              <w:rPr/>
              <w:t>; общая площадь жилых и нежилых помещений в многоквартирном доме _________ м</w:t>
            </w:r>
            <w:r>
              <w:rPr>
                <w:vertAlign w:val="superscript"/>
              </w:rPr>
              <w:t> 2</w:t>
            </w:r>
            <w:bookmarkEnd w:id="5"/>
            <w:r>
              <w:rPr/>
              <w:t>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" w:name="sub_110005"/>
            <w:r>
              <w:rPr/>
              <w:t xml:space="preserve">5. Доставка платежных документов на оплату коммунальных услуг и уведомлений, предусмотренных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r>
              <w:rPr/>
              <w:t xml:space="preserve"> предоставления коммунальных услуг собственникам и пользователям помещений в многоквартирных домах и жилых домов, утвержденными </w:t>
            </w:r>
            <w:hyperlink w:anchor="sub_0">
              <w:r>
                <w:rPr>
                  <w:b w:val="false"/>
                  <w:color w:val="106BBE"/>
                </w:rPr>
                <w:t>постановлением</w:t>
              </w:r>
            </w:hyperlink>
            <w:bookmarkEnd w:id="6"/>
            <w:r>
              <w:rPr/>
              <w:t xml:space="preserve"> Правительства Российской Федерации от 6 мая 2011 г. N 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услуг), для которых Правилами предоставления коммунальных услуг не предусмотрен порядок направления, осуществляется следующим способом: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почтовому адресу 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Если способ доставки не указан сторонами в настоящем договоре, то доставка осуществляется по почтовому адресу жилого помещения потребителя, в отношении которого заключается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по электронной почте и (или) через личный кабинет потребителя на официальном сайте ресурсоснабжающей организации в сети Интернет, считаются надлежащим образом доставленными на следующий календарный день после: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отправления ресурсоснабжающей организацией на адрес электронной почты, предоставленный потребителем;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размещения ресурсоснабжающей организацией в личном кабинете потребителя на официальном сайте ресурсоснабжающей организации в сети Интернет.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 ____________________.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7" w:name="sub_110006"/>
            <w:bookmarkEnd w:id="7"/>
            <w:r>
              <w:rPr/>
              <w:t>6. Расчетным периодом для оплаты коммунальных услуг является 1 календарный месяц (далее - расчетный период).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8" w:name="sub_113000"/>
            <w:bookmarkEnd w:id="8"/>
            <w:r>
              <w:rPr/>
              <w:t>III. Обязанности и права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9" w:name="sub_110007"/>
            <w:bookmarkEnd w:id="9"/>
            <w:r>
              <w:rPr/>
              <w:t>7. Ресурсоснабжающая организация обязана: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0" w:name="sub_110071"/>
            <w:bookmarkEnd w:id="10"/>
            <w:r>
              <w:rPr/>
              <w:t>а)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1" w:name="sub_110072"/>
            <w:r>
              <w:rPr/>
              <w:t xml:space="preserve">б) производить расчет размера платы за коммунальную услугу и его изменения в случаях и порядке, которые предусмотрены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1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2" w:name="sub_110073"/>
            <w:r>
              <w:rPr/>
              <w:t xml:space="preserve">в) принимать от потребителя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показаниях в порядке, предусмотренном </w:t>
            </w:r>
            <w:hyperlink w:anchor="sub_82">
              <w:r>
                <w:rPr>
                  <w:b w:val="false"/>
                  <w:color w:val="106BBE"/>
                </w:rPr>
                <w:t>пунктами 82 - 85</w:t>
              </w:r>
            </w:hyperlink>
            <w:hyperlink w:anchor="sub_82">
              <w:r>
                <w:rPr>
                  <w:b w:val="false"/>
                  <w:color w:val="106BBE"/>
                  <w:vertAlign w:val="superscript"/>
                </w:rPr>
                <w:t> 3</w:t>
              </w:r>
            </w:hyperlink>
            <w:bookmarkEnd w:id="12"/>
            <w:r>
              <w:rPr/>
              <w:t xml:space="preserve"> Правил предоставления коммунальных услуг. 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3" w:name="sub_110074"/>
            <w:r>
              <w:rPr/>
              <w:t xml:space="preserve">г) принимать в порядке и сроки,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3"/>
            <w:r>
              <w:rPr/>
              <w:t xml:space="preserve"> предоставления коммунальных услуг, сообщения потребителя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4" w:name="sub_110075"/>
            <w:r>
              <w:rPr/>
              <w:t xml:space="preserve">д) обеспечить доставку потребителю платежных документов на оплату коммунальных услуг способом, определенным в </w:t>
            </w:r>
            <w:hyperlink w:anchor="sub_110005">
              <w:r>
                <w:rPr>
                  <w:b w:val="false"/>
                  <w:color w:val="106BBE"/>
                </w:rPr>
                <w:t>пункте 5</w:t>
              </w:r>
            </w:hyperlink>
            <w:bookmarkEnd w:id="14"/>
            <w:r>
              <w:rPr/>
              <w:t xml:space="preserve">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5" w:name="sub_110076"/>
            <w:bookmarkEnd w:id="15"/>
            <w:r>
              <w:rPr/>
              <w:t>е)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6" w:name="sub_110008"/>
            <w:bookmarkEnd w:id="16"/>
            <w:r>
              <w:rPr/>
              <w:t>8. Ресурсоснабжающая организация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7" w:name="sub_110081"/>
            <w:bookmarkEnd w:id="17"/>
            <w:r>
              <w:rPr/>
              <w:t>а) приостанавливать или ограничивать предоставление коммунальной услуги по основаниям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8" w:name="sub_110082"/>
            <w:r>
              <w:rPr/>
              <w:t xml:space="preserve">б) устанавливать количество потребителей, проживающих (в том числе временно) в жилом помещении потребителя, в случае, если жилое помещение потребителя не оборудовано индивидуальными или общим (квартирным) приборами учета холодной воды, горячей воды, электрической энергии и газа, и составлять акт об установлении количества граждан, временно проживающих в жилом помещении, в порядке, предусмотренном </w:t>
            </w:r>
            <w:hyperlink w:anchor="sub_561">
              <w:r>
                <w:rPr>
                  <w:b w:val="false"/>
                  <w:color w:val="106BBE"/>
                </w:rPr>
                <w:t>пунктом 56</w:t>
              </w:r>
            </w:hyperlink>
            <w:hyperlink w:anchor="sub_561">
              <w:r>
                <w:rPr>
                  <w:b w:val="false"/>
                  <w:color w:val="106BBE"/>
                  <w:vertAlign w:val="superscript"/>
                </w:rPr>
                <w:t> 1</w:t>
              </w:r>
            </w:hyperlink>
            <w:bookmarkEnd w:id="18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9" w:name="sub_110083"/>
            <w:r>
              <w:rPr/>
              <w:t xml:space="preserve">в)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      </w:r>
            <w:hyperlink w:anchor="sub_326">
              <w:r>
                <w:rPr>
                  <w:b w:val="false"/>
                  <w:color w:val="106BBE"/>
                </w:rPr>
                <w:t>подпунктом "е" пункта 32</w:t>
              </w:r>
            </w:hyperlink>
            <w:bookmarkEnd w:id="19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0" w:name="sub_110084"/>
            <w:bookmarkEnd w:id="20"/>
            <w:r>
              <w:rPr/>
              <w:t>г) осуществлять иные права, предусмотренные законодательством Российской Федерации и настоящим договором.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1" w:name="sub_110009"/>
            <w:bookmarkEnd w:id="21"/>
            <w:r>
              <w:rPr/>
              <w:t>9. Потребитель обязан: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2" w:name="sub_110091"/>
            <w:bookmarkEnd w:id="22"/>
            <w:r>
              <w:rPr/>
              <w:t>а) своевременно и в полном объеме вносить ресурсоснабжающей организации плату за коммунальную услугу в сроки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3" w:name="sub_110092"/>
            <w:bookmarkEnd w:id="23"/>
            <w:r>
              <w:rPr/>
              <w:t>б) при обнаружении неисправностей, пожара и аварий во внутриквартирном оборудовании, внутридомовых инженерных системах, а также при обнаружении иных нарушений качества предоставления коммунальных услуг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неисправностей, пожара и аварий;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4" w:name="sub_110093"/>
            <w:r>
              <w:rPr/>
              <w:t xml:space="preserve">в) обеспечить оснащение жилого помещения приборами учета (холодной воды, горячей воды и электрической энергии), а также ввод в эксплуатацию установленного прибора учета, за исключением случаев, когда обязанность по установке и вводу в эксплуатацию приборов учета электрической энергии возложена на </w:t>
            </w:r>
            <w:hyperlink r:id="rId2">
              <w:r>
                <w:rPr>
                  <w:b w:val="false"/>
                  <w:color w:val="106BBE"/>
                </w:rPr>
                <w:t>гарантирующего поставщика</w:t>
              </w:r>
            </w:hyperlink>
            <w:bookmarkEnd w:id="24"/>
            <w:r>
              <w:rPr/>
              <w:t xml:space="preserve"> (сетевую организацию), его надлежащую техническую эксплуатацию, сохранность и своевременность замены в порядке и сроки, которые установлены законодательством Российской Федерации, при наличии технической возможности для установки таких приборов учета;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5" w:name="sub_110094"/>
            <w:bookmarkEnd w:id="25"/>
            <w:r>
              <w:rPr/>
              <w:t>г) в случае выхода прибора учета из строя (неисправности), в том числе неотображения прибором учета результатов измерений, нарушения контрольных пломб и (или) знаков поверки, механического повреждения прибора учета, превышения допустимой погрешности показаний прибора учета,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(возникновения неисправности);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6" w:name="sub_110095"/>
            <w:bookmarkEnd w:id="26"/>
            <w:r>
              <w:rPr/>
              <w:t>д) в случае, если требуется проведение демонтажа прибора учета, известить ресурсоснабжающую организацию не позднее чем за 2 рабочих дня до проведения соответствующих работ. Выполнять демонтаж прибора учета, а также его последующий монтаж в присутствии представителей ресурсоснабжающей организации, за исключением случаев, если такие представители не явились к сроку демонтажа прибора учета, указанному в извещении;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7" w:name="sub_110096"/>
            <w:bookmarkEnd w:id="27"/>
            <w:r>
              <w:rPr/>
              <w:t>е) допускать представителя ресурсоснабжающей организации в жилое помещение потребителя для снятия показаний приборов учета и распределителей, проверки их состояния, факта их наличия или отсутствия, а также достоверности переданных потребителем сведений о показаниях таких приборов учета и распределителей в порядке,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8" w:name="sub_110097"/>
            <w:bookmarkEnd w:id="28"/>
            <w:r>
              <w:rPr/>
              <w:t>ж) информировать ресурсоснабжающую организацию способом, подтверждающим факт и дату получения такой информации, об увеличении или уменьшении числа граждан, проживающих (в том числе временно) в жилом помещении потребителя, в случае, если жилое помещение потребителя не оборудовано прибором учета, не позднее 5 рабочих дней со дня произошедших изменений;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9" w:name="sub_110098"/>
            <w:bookmarkEnd w:id="29"/>
            <w:r>
              <w:rPr/>
              <w:t>з) возмещать ресурсоснабжающей организации расходы, связанные с введением ограничения, приостановлением и возобновлением предоставления коммунальной услуги, в размере,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0" w:name="sub_110099"/>
            <w:r>
              <w:rPr/>
              <w:t xml:space="preserve">и) не осуществлять действия, предусмотренные </w:t>
            </w:r>
            <w:hyperlink w:anchor="sub_35">
              <w:r>
                <w:rPr>
                  <w:b w:val="false"/>
                  <w:color w:val="106BBE"/>
                </w:rPr>
                <w:t>пунктом 35</w:t>
              </w:r>
            </w:hyperlink>
            <w:bookmarkEnd w:id="30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1" w:name="sub_110910"/>
            <w:bookmarkEnd w:id="31"/>
            <w:r>
              <w:rPr/>
              <w:t>к)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2" w:name="sub_110010"/>
            <w:bookmarkEnd w:id="32"/>
            <w:r>
              <w:rPr/>
              <w:t>10. Потребитель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3" w:name="sub_110101"/>
            <w:bookmarkEnd w:id="33"/>
            <w:r>
              <w:rPr/>
              <w:t>а) получать в необходимых объемах коммунальную услугу надлежащего качества;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4" w:name="sub_110102"/>
            <w:bookmarkEnd w:id="34"/>
            <w:r>
              <w:rPr/>
              <w:t>б) при наличии прибора учета ежемесячно снимать его показания и передавать их ресурсоснабжающей организации или уполномоченному ею лицу;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5" w:name="sub_110103"/>
            <w:bookmarkEnd w:id="35"/>
            <w:r>
              <w:rPr/>
              <w:t>в) получать от ресурсоснабжающей организации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ресурсоснабжающей организацией потребителю неустоек (штрафов, пеней);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6" w:name="sub_110104"/>
            <w:r>
              <w:rPr/>
              <w:t xml:space="preserve">г) требовать от ресурсоснабжающей организации изменения размера платы за коммунальную услугу в случаях и порядке,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36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7" w:name="sub_110105"/>
            <w:bookmarkEnd w:id="37"/>
            <w:r>
              <w:rPr/>
              <w:t>д) привлекать для осуществления действий по установке, замене приборов учета лиц, отвечающих требованиям, установленным законодательством Российской Федерации для осуществления таких действий;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8" w:name="sub_110106"/>
            <w:bookmarkEnd w:id="38"/>
            <w:r>
              <w:rPr/>
              <w:t>е) осуществлять иные права, предусмотренные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9" w:name="sub_114000"/>
            <w:bookmarkEnd w:id="39"/>
            <w:r>
              <w:rPr>
                <w:bCs/>
              </w:rPr>
              <w:t>IV. Учет объема (количества) коммунальной услуги, предоставленной потребителю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0" w:name="sub_110011"/>
            <w:bookmarkEnd w:id="40"/>
            <w:r>
              <w:rPr/>
              <w:t>11. Учет объема (количества) коммунальной услуги, предоставленной потребителю, осуществляется с использованием приборов учета в соответствии с требованиями законодательства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1" w:name="sub_110012"/>
            <w:bookmarkEnd w:id="41"/>
            <w:r>
              <w:rPr/>
              <w:t>12. В отсутствие приборов учета определение объема (количества) коммунальной услуги, предоставленной потребителю, осуществляется в порядке, предусмотренном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2" w:name="sub_110013"/>
            <w:bookmarkEnd w:id="42"/>
            <w:r>
              <w:rPr/>
              <w:t>13. При определении объема (количества) коммунальной услуги, предоставленной 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3" w:name="sub_1100132"/>
            <w:bookmarkEnd w:id="43"/>
            <w:r>
              <w:rPr/>
              <w:t>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44" w:name="sub_115000"/>
            <w:bookmarkEnd w:id="44"/>
            <w:r>
              <w:rPr/>
              <w:t>V. Размер платы за коммунальную услугу и порядок расчетов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5" w:name="sub_110014"/>
            <w:bookmarkEnd w:id="45"/>
            <w:r>
              <w:rPr/>
              <w:t>14.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6" w:name="sub_110015"/>
            <w:bookmarkEnd w:id="46"/>
            <w:r>
              <w:rPr/>
              <w:t>15. Плата за коммунальные услуги вносится потребителем ресурсоснабжающей организации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7" w:name="sub_110016"/>
            <w:bookmarkEnd w:id="47"/>
            <w:r>
              <w:rPr/>
              <w:t>16. Потребитель вправе осуществлять предварительную оплату коммунальных услуг в счет будущих расчетных периодов.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8" w:name="sub_110017"/>
            <w:bookmarkEnd w:id="48"/>
            <w:r>
              <w:rPr/>
              <w:t>17. В случае принятия в субъекте Российской Федерации решения об установлении социальной нормы потребления электрической энергии (мощности) размер платы за коммунальную услугу по электроснабжению рассчитывается по ценам (тарифам) на электрическую энергию (мощность), установленным в соответствии с законодательством Российской Федерации в пределах и сверх социальной нормы потребления электрической энергии.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9" w:name="sub_110018"/>
            <w:r>
              <w:rPr/>
              <w:t xml:space="preserve">18. В случае подключения внутриквартирного оборудования потребителя к внутридомовым инженерным системам, осуществленного с нарушением установленного порядка, и (или) несанкционированного вмешательства потребителя в работу прибора учета, повлекшего искажение его показателей, ресурсоснабжающая организация производит перерасчет и (или) доначисление платы за коммунальную услугу в порядке, предусмотренном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49"/>
            <w:r>
              <w:rPr/>
              <w:t xml:space="preserve"> предоставления коммунальных услуг.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0" w:name="sub_116000"/>
            <w:bookmarkEnd w:id="50"/>
            <w:r>
              <w:rPr/>
              <w:t>VI. Ограничение, приостановление, возобновление предоставления коммунальной услуги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1" w:name="sub_110019"/>
            <w:bookmarkEnd w:id="51"/>
            <w:r>
              <w:rPr/>
              <w:t>19. Ресурсоснабжающая организация осуществляет ограничение, приостановление, возобновление предоставления коммунальной услуги потребителю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2" w:name="sub_110020"/>
            <w:bookmarkEnd w:id="52"/>
            <w:r>
              <w:rPr/>
              <w:t>20. Уведомление потребителя о введении ограничения или приостановлении предоставления коммунальной услуги осуществляется в порядке, сроки и способами,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3" w:name="sub_110021"/>
            <w:bookmarkEnd w:id="53"/>
            <w:r>
              <w:rPr/>
              <w:t>21. При ограничении предоставления коммунальной услуги ресурсоснабжающая организация временно уменьшает объем (количество) подачи потребителю коммунальной услуги и (или) вводит график предоставления коммунальной услуги в течение суток.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При приостановлении предоставления коммунальной услуги ресурсоснабжающая организация временно прекращает ее предоставление потребителю.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4" w:name="sub_110022"/>
            <w:bookmarkEnd w:id="54"/>
            <w:r>
              <w:rPr/>
              <w:t>22. Предоставление коммунальных услуг возобновляется в сроки, установленные законодательством Российской Федерации, при условии полного погашения потребителем задолженности по оплате коммунальных услуг и возмещения расходов ресурсоснабжающей организации, связанных с введением ограничения, приостановлением и возобновлением предоставления коммунальной услуги, в порядке и размере, которые установлены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5" w:name="sub_117000"/>
            <w:bookmarkEnd w:id="55"/>
            <w:r>
              <w:rPr/>
              <w:t>VII. Ответственность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6" w:name="sub_110023"/>
            <w:bookmarkEnd w:id="56"/>
            <w:r>
              <w:rPr/>
              <w:t>23.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7" w:name="sub_110024"/>
            <w:bookmarkEnd w:id="57"/>
            <w:r>
              <w:rPr/>
              <w:t>24.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сетей водоснабжения, водоотведения, электроснабжения, теплоснабжения при наличии коллективного (общедомового) прибора учета место соединения коллективного (общедомового) прибора учета с соответствующей централизованной сетью инженерно-технического обеспечения, входящей в многоквартирный дом, при отсутствии коллективного (общедомового) прибора учета - внешняя граница стены многоквартирного дома, а для сетей газоснабжения - место соединения первого запорного устройства с внешней газораспределительной сетью. Сторонами может быть определено иное место границы ответственности за качество предоставления коммунальной услуги соответствующего вида.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внутриквартирного оборудования, а также для производства и предоставления исполнителем коммунальной услуги по отоплению и (или) горячему водоснабжению (при отсутствии централизованных теплоснабжения и (или) горячего водоснабжения).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8" w:name="sub_110025"/>
            <w:bookmarkEnd w:id="58"/>
            <w:r>
              <w:rPr/>
              <w:t>25. Потребитель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ресурсоснабжающей организации пени в размере,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9" w:name="sub_118000"/>
            <w:bookmarkEnd w:id="59"/>
            <w:r>
              <w:rPr/>
              <w:t>VIII. Порядок разрешения споров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0" w:name="sub_110026"/>
            <w:bookmarkEnd w:id="60"/>
            <w:r>
              <w:rPr/>
              <w:t>26. Споры, вытекающие из настоящего договора, подлежат рассмотрению в порядке,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1" w:name="sub_119000"/>
            <w:bookmarkEnd w:id="61"/>
            <w:r>
              <w:rPr/>
              <w:t>IX. Действие, изменение и расторжение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2" w:name="sub_110027"/>
            <w:bookmarkEnd w:id="62"/>
            <w:r>
              <w:rPr/>
              <w:t>27. Настоящий договор заключается на неопределенный срок и вступает в силу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3" w:name="sub_110028"/>
            <w:bookmarkEnd w:id="63"/>
            <w:r>
              <w:rPr/>
              <w:t>28.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4" w:name="sub_110029"/>
            <w:bookmarkEnd w:id="64"/>
            <w:r>
              <w:rPr/>
              <w:t>29.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5" w:name="sub_110030"/>
            <w:r>
              <w:rPr/>
              <w:t xml:space="preserve">30. Информация об изменении условий настоящего договора доводится до сведения потребителя способами, предусмотренными </w:t>
            </w:r>
            <w:hyperlink w:anchor="sub_110005">
              <w:r>
                <w:rPr>
                  <w:b w:val="false"/>
                  <w:color w:val="106BBE"/>
                </w:rPr>
                <w:t>пунктом 5</w:t>
              </w:r>
            </w:hyperlink>
            <w:bookmarkEnd w:id="65"/>
            <w:r>
              <w:rPr/>
              <w:t xml:space="preserve"> настоящего договора.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6" w:name="sub_110031"/>
            <w:r>
              <w:rPr/>
              <w:t xml:space="preserve">31. Обработка персональных данных потребителя, за исключением указанных в </w:t>
            </w:r>
            <w:hyperlink w:anchor="sub_6">
              <w:r>
                <w:rPr>
                  <w:b w:val="false"/>
                  <w:color w:val="106BBE"/>
                </w:rPr>
                <w:t>пункте 6</w:t>
              </w:r>
            </w:hyperlink>
            <w:r>
              <w:rPr/>
              <w:t xml:space="preserve"> Правил предоставления коммунальных услуг, осуществляется ресурсоснабжающей организацией в соответствии с </w:t>
            </w:r>
            <w:hyperlink r:id="rId3">
              <w:r>
                <w:rPr>
                  <w:b w:val="false"/>
                  <w:color w:val="106BBE"/>
                </w:rPr>
                <w:t>Федеральным законом</w:t>
              </w:r>
            </w:hyperlink>
            <w:bookmarkEnd w:id="66"/>
            <w:r>
              <w:rPr/>
      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законом.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7" w:name="sub_1110000"/>
            <w:bookmarkEnd w:id="67"/>
            <w:r>
              <w:rPr/>
              <w:t>X. Заключительные положения</w:t>
            </w:r>
            <w:r>
              <w:rPr>
                <w:b w:val="false"/>
              </w:rPr>
              <w:t xml:space="preserve">. </w:t>
            </w:r>
            <w:r>
              <w:rPr>
                <w:bCs/>
              </w:rPr>
              <w:t>Реквизиты и подписи сторон.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8" w:name="sub_110032"/>
            <w:bookmarkEnd w:id="68"/>
            <w:r>
              <w:rPr/>
              <w:t>32. По вопросам, прямо не урегулированным настоящим договором, стороны руководствуются законодательством Российской Федерации.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</w:rPr>
        <w:t>Ресурсоснабжающая организация:                                                            Потребитель:</w:t>
      </w:r>
    </w:p>
    <w:tbl>
      <w:tblPr>
        <w:tblW w:w="10196" w:type="dxa"/>
        <w:jc w:val="left"/>
        <w:tblInd w:w="-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4"/>
        <w:gridCol w:w="4811"/>
      </w:tblGrid>
      <w:tr>
        <w:trPr>
          <w:trHeight w:val="1755" w:hRule="atLeast"/>
        </w:trPr>
        <w:tc>
          <w:tcPr>
            <w:tcW w:w="5384" w:type="dxa"/>
            <w:tcBorders/>
          </w:tcPr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>
                <w:szCs w:val="24"/>
              </w:rPr>
              <w:t xml:space="preserve">352750 Краснодарский край ст. Брюховецкая ул. О.Кошевого 196 ИНН 2327009686   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>
                <w:szCs w:val="24"/>
              </w:rPr>
              <w:t>КПП 232701001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>
                <w:szCs w:val="24"/>
              </w:rPr>
              <w:t>р/с 40702810230000039812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>
                <w:szCs w:val="24"/>
              </w:rPr>
              <w:t>к/с 30101810100000000602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>
                <w:szCs w:val="24"/>
              </w:rPr>
              <w:t>в Краснодарском отделении № 8619 ПАО СБЕРБАНК г. Краснодар БИК 040349602</w:t>
            </w:r>
          </w:p>
          <w:p>
            <w:pPr>
              <w:pStyle w:val="Normal"/>
              <w:widowControl w:val="false"/>
              <w:shd w:fill="FFFFFF"/>
              <w:tabs>
                <w:tab w:val="clear" w:pos="720"/>
              </w:tabs>
              <w:spacing w:lineRule="exact" w:line="209"/>
              <w:ind w:left="36" w:right="0" w:hanging="0"/>
              <w:rPr/>
            </w:pPr>
            <w:r>
              <w:rPr/>
              <w:t>тел. 3-11-94, 2-22-57.</w:t>
            </w:r>
          </w:p>
        </w:tc>
        <w:tc>
          <w:tcPr>
            <w:tcW w:w="481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Директор ООО «БООС» __________ В.А. Дьяченко                 _____________ Потребитель</w:t>
      </w:r>
    </w:p>
    <w:sectPr>
      <w:headerReference w:type="default" r:id="rId4"/>
      <w:footerReference w:type="default" r:id="rId5"/>
      <w:type w:val="nextPage"/>
      <w:pgSz w:w="11906" w:h="16800"/>
      <w:pgMar w:left="800" w:right="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9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433"/>
      <w:gridCol w:w="3433"/>
      <w:gridCol w:w="3433"/>
    </w:tblGrid>
    <w:tr>
      <w:trPr/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left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center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right"/>
            <w:rPr>
              <w:lang w:val="ru-RU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PAGE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0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t>/</w:t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NUMPAGES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6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</w:p>
      </w:tc>
    </w:tr>
  </w:tbl>
  <w:p>
    <w:pPr>
      <w:pStyle w:val="Normal"/>
      <w:widowControl w:val="false"/>
      <w:suppressAutoHyphens w:val="false"/>
      <w:bidi w:val="0"/>
      <w:spacing w:before="0" w:after="0"/>
      <w:ind w:left="0" w:right="0" w:firstLine="720"/>
      <w:jc w:val="both"/>
      <w:rPr>
        <w:rFonts w:ascii="Arial" w:hAnsi="Arial" w:eastAsia="Arial"/>
        <w:color w:val="auto"/>
        <w:kern w:val="2"/>
        <w:sz w:val="24"/>
        <w:lang w:val="ru-RU" w:eastAsia="hi-IN"/>
      </w:rPr>
    </w:pPr>
    <w:r>
      <w:rPr>
        <w:rFonts w:eastAsia="Arial" w:ascii="Arial" w:hAnsi="Arial"/>
        <w:color w:val="auto"/>
        <w:kern w:val="2"/>
        <w:sz w:val="24"/>
        <w:lang w:val="ru-RU" w:eastAsia="hi-I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widowControl w:val="false"/>
      <w:suppressAutoHyphens w:val="false"/>
      <w:bidi w:val="0"/>
      <w:spacing w:before="0" w:after="0"/>
      <w:ind w:left="0" w:right="0" w:hanging="0"/>
      <w:jc w:val="left"/>
      <w:rPr>
        <w:rFonts w:ascii="Times New Roman" w:hAnsi="Times New Roman" w:eastAsia="Wingdings"/>
        <w:color w:val="auto"/>
        <w:kern w:val="2"/>
        <w:sz w:val="20"/>
        <w:lang w:val="ru-RU" w:eastAsia="hi-IN"/>
      </w:rPr>
    </w:pPr>
    <w:r>
      <w:rPr>
        <w:rFonts w:eastAsia="Wingdings"/>
        <w:color w:val="auto"/>
        <w:kern w:val="2"/>
        <w:sz w:val="20"/>
        <w:lang w:val="ru-RU" w:eastAsia="hi-I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ind w:firstLine="720"/>
      <w:jc w:val="both"/>
    </w:pPr>
    <w:rPr>
      <w:rFonts w:ascii="Times New Roman CYR" w:hAnsi="Times New Roman CYR" w:eastAsia="Liberation Serif" w:cs="Liberation Serif"/>
      <w:color w:val="auto"/>
      <w:kern w:val="2"/>
      <w:sz w:val="24"/>
      <w:szCs w:val="24"/>
      <w:lang w:val="ru-RU" w:eastAsia="hi-IN" w:bidi="hi-IN"/>
    </w:rPr>
  </w:style>
  <w:style w:type="paragraph" w:styleId="1">
    <w:name w:val="Heading 1"/>
    <w:basedOn w:val="Normal"/>
    <w:qFormat/>
    <w:pPr>
      <w:spacing w:before="108" w:after="108"/>
      <w:ind w:hanging="0"/>
      <w:jc w:val="center"/>
    </w:pPr>
    <w:rPr>
      <w:b/>
      <w:color w:val="26282F"/>
    </w:rPr>
  </w:style>
  <w:style w:type="character" w:styleId="Style13">
    <w:name w:val="Гипертекстовая ссылка"/>
    <w:qFormat/>
    <w:rPr>
      <w:b w:val="false"/>
      <w:color w:val="106BBE"/>
    </w:rPr>
  </w:style>
  <w:style w:type="character" w:styleId="Style14">
    <w:name w:val="Цветовое выделение"/>
    <w:qFormat/>
    <w:rPr>
      <w:b/>
      <w:color w:val="26282F"/>
    </w:rPr>
  </w:style>
  <w:style w:type="character" w:styleId="Style15">
    <w:name w:val="Цветовое выделение для Текст"/>
    <w:qFormat/>
    <w:rPr/>
  </w:style>
  <w:style w:type="character" w:styleId="Style16">
    <w:name w:val="Интернет-ссылка"/>
    <w:rPr>
      <w:color w:val="000080"/>
      <w:u w:val="single"/>
      <w:lang w:val="zxx" w:eastAsia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  <w:ind w:firstLine="720"/>
    </w:pPr>
    <w:rPr>
      <w:rFonts w:ascii="Liberation Sans" w:hAnsi="Liberation Sans"/>
      <w:sz w:val="28"/>
    </w:rPr>
  </w:style>
  <w:style w:type="paragraph" w:styleId="Style18">
    <w:name w:val="Body Text"/>
    <w:basedOn w:val="Normal"/>
    <w:pPr>
      <w:spacing w:lineRule="auto" w:line="276" w:before="0" w:after="140"/>
      <w:ind w:firstLine="720"/>
    </w:pPr>
    <w:rPr/>
  </w:style>
  <w:style w:type="paragraph" w:styleId="Style19">
    <w:name w:val="List"/>
    <w:basedOn w:val="Style18"/>
    <w:pPr>
      <w:spacing w:lineRule="auto" w:line="276" w:before="0" w:after="140"/>
      <w:ind w:firstLine="720"/>
    </w:pPr>
    <w:rPr/>
  </w:style>
  <w:style w:type="paragraph" w:styleId="Style20">
    <w:name w:val="Caption"/>
    <w:basedOn w:val="Normal"/>
    <w:qFormat/>
    <w:pPr>
      <w:spacing w:before="120" w:after="120"/>
      <w:ind w:firstLine="720"/>
    </w:pPr>
    <w:rPr>
      <w:i/>
      <w:iCs/>
    </w:rPr>
  </w:style>
  <w:style w:type="paragraph" w:styleId="Style21">
    <w:name w:val="Указатель"/>
    <w:basedOn w:val="Normal"/>
    <w:qFormat/>
    <w:pPr>
      <w:ind w:firstLine="720"/>
    </w:pPr>
    <w:rPr/>
  </w:style>
  <w:style w:type="paragraph" w:styleId="Style22">
    <w:name w:val="Комментарий"/>
    <w:qFormat/>
    <w:pPr>
      <w:widowControl w:val="false"/>
      <w:suppressAutoHyphens w:val="true"/>
      <w:bidi w:val="0"/>
      <w:spacing w:before="75" w:after="0"/>
      <w:ind w:left="170" w:hanging="0"/>
      <w:jc w:val="left"/>
    </w:pPr>
    <w:rPr>
      <w:rFonts w:ascii="Liberation Serif" w:hAnsi="Liberation Serif" w:eastAsia="Liberation Serif" w:cs="Liberation Serif"/>
      <w:color w:val="353842"/>
      <w:kern w:val="2"/>
      <w:sz w:val="24"/>
      <w:szCs w:val="24"/>
      <w:lang w:val="ru-RU" w:eastAsia="hi-IN" w:bidi="hi-IN"/>
    </w:rPr>
  </w:style>
  <w:style w:type="paragraph" w:styleId="Style23">
    <w:name w:val="Текст (справка)"/>
    <w:basedOn w:val="Normal"/>
    <w:qFormat/>
    <w:pPr>
      <w:ind w:left="170" w:right="170" w:hanging="0"/>
      <w:jc w:val="left"/>
    </w:pPr>
    <w:rPr/>
  </w:style>
  <w:style w:type="paragraph" w:styleId="Style24">
    <w:name w:val="Нормальный (таблица)"/>
    <w:basedOn w:val="Normal"/>
    <w:qFormat/>
    <w:pPr>
      <w:ind w:hanging="0"/>
    </w:pPr>
    <w:rPr/>
  </w:style>
  <w:style w:type="paragraph" w:styleId="Style25">
    <w:name w:val="Информация о версии"/>
    <w:basedOn w:val="Style22"/>
    <w:qFormat/>
    <w:pPr>
      <w:suppressAutoHyphens w:val="true"/>
      <w:spacing w:before="75" w:after="0"/>
      <w:ind w:left="170" w:hanging="0"/>
      <w:jc w:val="left"/>
    </w:pPr>
    <w:rPr>
      <w:rFonts w:ascii="Liberation Serif" w:hAnsi="Liberation Serif"/>
      <w:i/>
      <w:color w:val="353842"/>
    </w:rPr>
  </w:style>
  <w:style w:type="paragraph" w:styleId="Style26">
    <w:name w:val="Верхний и нижний колонтитулы"/>
    <w:basedOn w:val="Normal"/>
    <w:qFormat/>
    <w:pPr>
      <w:ind w:firstLine="720"/>
    </w:pPr>
    <w:rPr/>
  </w:style>
  <w:style w:type="paragraph" w:styleId="Style27">
    <w:name w:val="Header"/>
    <w:basedOn w:val="Normal"/>
    <w:pPr>
      <w:ind w:hanging="0"/>
      <w:jc w:val="center"/>
    </w:pPr>
    <w:rPr>
      <w:rFonts w:ascii="Times New Roman" w:hAnsi="Times New Roman"/>
      <w:sz w:val="20"/>
    </w:rPr>
  </w:style>
  <w:style w:type="paragraph" w:styleId="Style28">
    <w:name w:val="Footer"/>
    <w:basedOn w:val="Normal"/>
    <w:pPr>
      <w:ind w:hanging="0"/>
      <w:jc w:val="left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vo.garant.ru/document/redirect/185656/65" TargetMode="External"/><Relationship Id="rId3" Type="http://schemas.openxmlformats.org/officeDocument/2006/relationships/hyperlink" Target="http://ivo.garant.ru/document/redirect/12148567/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8</Pages>
  <Words>2259</Words>
  <Characters>18220</Characters>
  <CharactersWithSpaces>20458</CharactersWithSpaces>
  <Paragraphs>106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2021-02-08T09:05:00Z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