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Жижченко(Ветошкина)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гармонических колебаний, как пример одной из задач построения математических моделей.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6.5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</m:oMath>
      <w:r>
        <w:t xml:space="preserve">;</w:t>
      </w:r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75</m:t>
        </m:r>
        <m:r>
          <m:rPr>
            <m:sty m:val="p"/>
          </m:rPr>
          <m:t>]</m:t>
        </m:r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w:r>
        <w:t xml:space="preserve">$$
\centering
\ddot{x}+2\gamma\dot{x}+\omega_0^2x=0(1)
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время.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rPr>
                <m:nor/>
                <m:sty m:val="p"/>
              </m:rPr>
              <m:t>Обозначения </m:t>
            </m:r>
            <m:acc>
              <m:accPr>
                <m:chr m:val="̈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sSup>
                  <m:e>
                    <m:r>
                      <m:rPr>
                        <m:sty m:val="p"/>
                      </m:rPr>
                      <m:t>∂</m:t>
                    </m:r>
                  </m:e>
                  <m:sup>
                    <m:r>
                      <m:t>2</m:t>
                    </m:r>
                  </m:sup>
                </m:sSup>
                <m:r>
                  <m:t>x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∂</m:t>
                    </m:r>
                  </m:e>
                  <m:sup>
                    <m:r>
                      <m:t>2</m:t>
                    </m:r>
                  </m:sup>
                </m:sSup>
                <m:r>
                  <m:t>t</m:t>
                </m:r>
              </m:den>
            </m:f>
            <m:r>
              <m:rPr>
                <m:sty m:val="p"/>
              </m:rPr>
              <m:t>,</m:t>
            </m:r>
            <m:acc>
              <m:accPr>
                <m:chr m:val="̇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∂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∂</m:t>
                </m:r>
                <m:r>
                  <m:t>t</m:t>
                </m:r>
              </m:den>
            </m:f>
          </m:e>
        </m:d>
      </m:oMath>
    </w:p>
    <w:p>
      <w:pPr>
        <w:pStyle w:val="BodyText"/>
      </w:pPr>
      <w:r>
        <w:t xml:space="preserve">Уравнение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γ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получаем</w:t>
      </w:r>
      <w:r>
        <w:t xml:space="preserve"> </w:t>
      </w:r>
      <w:r>
        <w:t xml:space="preserve">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w:r>
        <w:t xml:space="preserve">$$
\centering
\ddot{x}+\omega_0^2x=0(2)
$$</w:t>
      </w:r>
    </w:p>
    <w:p>
      <w:pPr>
        <w:pStyle w:val="FirstParagraph"/>
      </w:pPr>
      <w:r>
        <w:t xml:space="preserve">Для однозначной разрешимости уравнения второго порядка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необходимо</w:t>
      </w:r>
      <w:r>
        <w:t xml:space="preserve"> </w:t>
      </w:r>
      <w:r>
        <w:t xml:space="preserve">задать два начальных условия вида</w:t>
      </w:r>
    </w:p>
    <w:p>
      <w:pPr>
        <w:pStyle w:val="BodyText"/>
      </w:pPr>
      <w:r>
        <w:t xml:space="preserve">$$
\centering
\begin{cases}
x(t_0)=x_0\\
\dot{x}(t_0)=y_0
\end{cases}
(3)
$$</w:t>
      </w:r>
    </w:p>
    <w:p>
      <w:pPr>
        <w:pStyle w:val="FirstParagraph"/>
      </w:pPr>
      <w:r>
        <w:t xml:space="preserve">Уравнение второго порядка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можно представить в виде системы двух</w:t>
      </w:r>
      <w:r>
        <w:t xml:space="preserve"> </w:t>
      </w:r>
      <w:r>
        <w:t xml:space="preserve">уравнений первого порядка:</w:t>
      </w:r>
    </w:p>
    <w:p>
      <w:pPr>
        <w:pStyle w:val="BodyText"/>
      </w:pPr>
      <w:r>
        <w:t xml:space="preserve">$$
\centering
\begin{cases}
\dot{x}=y\\
\dot{y}=-\omega_0^2x
\end{cases}
(4)
$$</w:t>
      </w:r>
    </w:p>
    <w:p>
      <w:pPr>
        <w:pStyle w:val="FirstParagraph"/>
      </w:pPr>
      <w:r>
        <w:t xml:space="preserve">Начальные условия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для системы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примут вид:</w:t>
      </w:r>
    </w:p>
    <w:p>
      <w:pPr>
        <w:pStyle w:val="BodyText"/>
      </w:pPr>
      <w:r>
        <w:t xml:space="preserve">$$
\centering
\begin{cases}
x(t_0)=x_0\\
y(t_0)=y_0
\end{cases}
(5)
$$</w:t>
      </w:r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</w:t>
      </w:r>
      <w:r>
        <w:t xml:space="preserve"> </w:t>
      </w:r>
      <w:r>
        <w:t xml:space="preserve">определяет состояние системы. Решению уравнения движения как функции</w:t>
      </w:r>
      <w:r>
        <w:t xml:space="preserve"> </w:t>
      </w:r>
      <w:r>
        <w:t xml:space="preserve">времени отвечает гладкая кривая в фазовой плоскости. Она называется фазовой</w:t>
      </w:r>
      <w:r>
        <w:t xml:space="preserve"> </w:t>
      </w:r>
      <w:r>
        <w:t xml:space="preserve">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</w:t>
      </w:r>
      <w:r>
        <w:t xml:space="preserve"> </w:t>
      </w:r>
      <w:r>
        <w:t xml:space="preserve">картина поведения системы. Такую картину, образованную набором фазовых</w:t>
      </w:r>
      <w:r>
        <w:t xml:space="preserve"> </w:t>
      </w:r>
      <w:r>
        <w:t xml:space="preserve">траекторий, называют фазовым портретом.</w:t>
      </w:r>
    </w:p>
    <w:p>
      <w:pPr>
        <w:pStyle w:val="BodyText"/>
      </w:pPr>
      <w:r>
        <w:t xml:space="preserve">Код модели колебания гармонического осциллятора без затуханий и без действий внешней силы на языке Modelica</w:t>
      </w:r>
    </w:p>
    <w:p>
      <w:pPr>
        <w:pStyle w:val="SourceCode"/>
      </w:pPr>
      <w:r>
        <w:rPr>
          <w:rStyle w:val="VerbatimChar"/>
        </w:rPr>
        <w:t xml:space="preserve">model lab04</w:t>
      </w:r>
      <w:r>
        <w:br/>
      </w:r>
      <w:r>
        <w:rPr>
          <w:rStyle w:val="VerbatimChar"/>
        </w:rPr>
        <w:t xml:space="preserve">parameter Real omega = sqrt(6.5);</w:t>
      </w:r>
      <w:r>
        <w:br/>
      </w:r>
      <w:r>
        <w:br/>
      </w:r>
      <w:r>
        <w:rPr>
          <w:rStyle w:val="VerbatimChar"/>
        </w:rPr>
        <w:t xml:space="preserve">Real x(start=-1);</w:t>
      </w:r>
      <w:r>
        <w:br/>
      </w:r>
      <w:r>
        <w:rPr>
          <w:rStyle w:val="VerbatimChar"/>
        </w:rPr>
        <w:t xml:space="preserve">Real y(start=0);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-(omega * omega) * x;</w:t>
      </w:r>
      <w:r>
        <w:br/>
      </w:r>
      <w:r>
        <w:rPr>
          <w:rStyle w:val="VerbatimChar"/>
        </w:rPr>
        <w:t xml:space="preserve">end lab04;</w:t>
      </w:r>
    </w:p>
    <w:p>
      <w:pPr>
        <w:pStyle w:val="FirstParagraph"/>
      </w:pPr>
      <w:r>
        <w:t xml:space="preserve">Код модели колебания гармонического осциллятора c затуханием и без действий внешней силы на языке Modelica</w:t>
      </w:r>
    </w:p>
    <w:p>
      <w:pPr>
        <w:pStyle w:val="SourceCode"/>
      </w:pPr>
      <w:r>
        <w:rPr>
          <w:rStyle w:val="VerbatimChar"/>
        </w:rPr>
        <w:t xml:space="preserve">model lab04_2</w:t>
      </w:r>
      <w:r>
        <w:br/>
      </w:r>
      <w:r>
        <w:rPr>
          <w:rStyle w:val="VerbatimChar"/>
        </w:rPr>
        <w:t xml:space="preserve">parameter Real omega = sqrt(5);</w:t>
      </w:r>
      <w:r>
        <w:br/>
      </w:r>
      <w:r>
        <w:rPr>
          <w:rStyle w:val="VerbatimChar"/>
        </w:rPr>
        <w:t xml:space="preserve">parameter Real gamma = 4;</w:t>
      </w:r>
      <w:r>
        <w:br/>
      </w:r>
      <w:r>
        <w:br/>
      </w:r>
      <w:r>
        <w:rPr>
          <w:rStyle w:val="VerbatimChar"/>
        </w:rPr>
        <w:t xml:space="preserve">Real x(start=-1);</w:t>
      </w:r>
      <w:r>
        <w:br/>
      </w:r>
      <w:r>
        <w:rPr>
          <w:rStyle w:val="VerbatimChar"/>
        </w:rPr>
        <w:t xml:space="preserve">Real y(start=0);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-gamma * y - (omega * omega) * x;</w:t>
      </w:r>
      <w:r>
        <w:br/>
      </w:r>
      <w:r>
        <w:rPr>
          <w:rStyle w:val="VerbatimChar"/>
        </w:rPr>
        <w:t xml:space="preserve">end lab04_2;</w:t>
      </w:r>
    </w:p>
    <w:p>
      <w:pPr>
        <w:pStyle w:val="FirstParagraph"/>
      </w:pPr>
      <w:r>
        <w:t xml:space="preserve">Код модели колебания гармонического осциллятора c затуханием и без действий внешней силы на языке Modelica</w:t>
      </w:r>
    </w:p>
    <w:p>
      <w:pPr>
        <w:pStyle w:val="SourceCode"/>
      </w:pPr>
      <w:r>
        <w:rPr>
          <w:rStyle w:val="VerbatimChar"/>
        </w:rPr>
        <w:t xml:space="preserve">model lab04_3</w:t>
      </w:r>
      <w:r>
        <w:br/>
      </w:r>
      <w:r>
        <w:rPr>
          <w:rStyle w:val="VerbatimChar"/>
        </w:rPr>
        <w:t xml:space="preserve">parameter Real omega = sqrt(7);</w:t>
      </w:r>
      <w:r>
        <w:br/>
      </w:r>
      <w:r>
        <w:rPr>
          <w:rStyle w:val="VerbatimChar"/>
        </w:rPr>
        <w:t xml:space="preserve">parameter Real gamma = 3;</w:t>
      </w:r>
      <w:r>
        <w:br/>
      </w:r>
      <w:r>
        <w:br/>
      </w:r>
      <w:r>
        <w:rPr>
          <w:rStyle w:val="VerbatimChar"/>
        </w:rPr>
        <w:t xml:space="preserve">Real x(start=-1);</w:t>
      </w:r>
      <w:r>
        <w:br/>
      </w:r>
      <w:r>
        <w:rPr>
          <w:rStyle w:val="VerbatimChar"/>
        </w:rPr>
        <w:t xml:space="preserve">Real y(start=0);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-gamma * y - (omega * omega) * x + sin(2 * time);</w:t>
      </w:r>
      <w:r>
        <w:br/>
      </w:r>
      <w:r>
        <w:rPr>
          <w:rStyle w:val="VerbatimChar"/>
        </w:rPr>
        <w:t xml:space="preserve">end lab04_3;</w:t>
      </w:r>
    </w:p>
    <w:p>
      <w:pPr>
        <w:pStyle w:val="FirstParagraph"/>
      </w:pPr>
      <w:r>
        <w:t xml:space="preserve">Фазовый портрет и решение уравнения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6.5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можно видеть на (рис. 1) и (рис. 2) соответственно.</w:t>
      </w:r>
    </w:p>
    <w:p>
      <w:pPr>
        <w:pStyle w:val="CaptionedFigure"/>
      </w:pPr>
      <w:bookmarkStart w:id="23" w:name="fig:001"/>
      <w:r>
        <w:drawing>
          <wp:inline>
            <wp:extent cx="5334000" cy="2631589"/>
            <wp:effectExtent b="0" l="0" r="0" t="0"/>
            <wp:docPr descr="Figure 1: Фазовый портрет гармонического осциллятора без затуханий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..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Фазовый портрет гармонического осциллятора без затуханий и без действий внешней силы</w:t>
      </w:r>
    </w:p>
    <w:p>
      <w:pPr>
        <w:pStyle w:val="CaptionedFigure"/>
      </w:pPr>
      <w:bookmarkStart w:id="25" w:name="fig:002"/>
      <w:r>
        <w:drawing>
          <wp:inline>
            <wp:extent cx="5334000" cy="2631589"/>
            <wp:effectExtent b="0" l="0" r="0" t="0"/>
            <wp:docPr descr="Figure 2: Решение уравнения гармонического осциллятора без затуханий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..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Решение уравнения гармонического осциллятора без затуханий и без действий внешней силы</w:t>
      </w:r>
    </w:p>
    <w:p>
      <w:pPr>
        <w:pStyle w:val="BodyText"/>
      </w:pPr>
      <w:r>
        <w:t xml:space="preserve">Фазовый портрет и решение уравнения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можно видеть на (рис. 3) и (рис. 4) соответственно.</w:t>
      </w:r>
    </w:p>
    <w:p>
      <w:pPr>
        <w:pStyle w:val="CaptionedFigure"/>
      </w:pPr>
      <w:bookmarkStart w:id="27" w:name="fig:003"/>
      <w:r>
        <w:drawing>
          <wp:inline>
            <wp:extent cx="5334000" cy="2609704"/>
            <wp:effectExtent b="0" l="0" r="0" t="0"/>
            <wp:docPr descr="Figure 3: Фазовый портрет гармонического осциллятора c затуханием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..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Фазовый портрет гармонического осциллятора c затуханием и без действий внешней силы</w:t>
      </w:r>
    </w:p>
    <w:p>
      <w:pPr>
        <w:pStyle w:val="CaptionedFigure"/>
      </w:pPr>
      <w:bookmarkStart w:id="29" w:name="fig:004"/>
      <w:r>
        <w:drawing>
          <wp:inline>
            <wp:extent cx="5334000" cy="2609704"/>
            <wp:effectExtent b="0" l="0" r="0" t="0"/>
            <wp:docPr descr="Figure 4: Решение уравнения гармонического осциллятора c затуханием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..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Решение уравнения гармонического осциллятора c затуханием и без действий внешней силы</w:t>
      </w:r>
    </w:p>
    <w:p>
      <w:pPr>
        <w:pStyle w:val="BodyText"/>
      </w:pPr>
      <w:r>
        <w:t xml:space="preserve">Фазовый портрет и решение уравнения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можно видеть на (рис. 5) и (рис. 6) соответственно.</w:t>
      </w:r>
    </w:p>
    <w:p>
      <w:pPr>
        <w:pStyle w:val="CaptionedFigure"/>
      </w:pPr>
      <w:bookmarkStart w:id="31" w:name="fig:005"/>
      <w:r>
        <w:drawing>
          <wp:inline>
            <wp:extent cx="5334000" cy="2667000"/>
            <wp:effectExtent b="0" l="0" r="0" t="0"/>
            <wp:docPr descr="Figure 5: Фазовый портрет гармонического осциллятора c затуханием и под действием внешней силы" title="" id="1" name="Picture"/>
            <a:graphic>
              <a:graphicData uri="http://schemas.openxmlformats.org/drawingml/2006/picture">
                <pic:pic>
                  <pic:nvPicPr>
                    <pic:cNvPr descr="..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Фазовый портрет гармонического осциллятора c затуханием и под действием внешней силы</w:t>
      </w:r>
    </w:p>
    <w:p>
      <w:pPr>
        <w:pStyle w:val="CaptionedFigure"/>
      </w:pPr>
      <w:bookmarkStart w:id="33" w:name="fig:006"/>
      <w:r>
        <w:drawing>
          <wp:inline>
            <wp:extent cx="5334000" cy="2667000"/>
            <wp:effectExtent b="0" l="0" r="0" t="0"/>
            <wp:docPr descr="Figure 6: Решение уравнения гармонического осциллятора c затуханием и под действием внешней силы" title="" id="1" name="Picture"/>
            <a:graphic>
              <a:graphicData uri="http://schemas.openxmlformats.org/drawingml/2006/picture">
                <pic:pic>
                  <pic:nvPicPr>
                    <pic:cNvPr descr="..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Решение уравнения гармонического осциллятора c затуханием и под действием внешней силы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модель гармонических колебаний. Провели анализ и вывод дифференциальных уравнений.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Жижченко(Ветошкина) Валерия Викторовна</dc:creator>
  <dc:language>ru-RU</dc:language>
  <cp:keywords/>
  <dcterms:created xsi:type="dcterms:W3CDTF">2021-03-06T18:21:20Z</dcterms:created>
  <dcterms:modified xsi:type="dcterms:W3CDTF">2021-03-06T18:21:20Z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колебаний. Вариант 13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