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Ежедневный дайджест ИТ/ИБ</w:t>
      </w:r>
    </w:p>
    <w:p>
      <w:pPr>
        <w:jc w:val="center"/>
      </w:pPr>
      <w:r>
        <w:t>ИБ / ИТ специалист · 15.10.2026 03:00 · период: День</w:t>
      </w:r>
    </w:p>
    <w:p>
      <w:r>
        <w:t>Интересы: CVE, уязвимость, ransomware, эксплойт</w:t>
      </w:r>
    </w:p>
    <w:p>
      <w:pPr>
        <w:pStyle w:val="Heading1"/>
      </w:pPr>
      <w:r>
        <w:t>CVE</w:t>
      </w:r>
    </w:p>
    <w:p>
      <w:pPr>
        <w:pStyle w:val="Heading2"/>
      </w:pPr>
      <w:r>
        <w:t>Critical CVE in Microsoft Exchange allows remote code execution</w:t>
      </w:r>
    </w:p>
    <w:p>
      <w:r>
        <w:rPr>
          <w:i/>
          <w:color w:val="555555"/>
        </w:rPr>
        <w:t>Уязвимость ·  · релевантность 79%</w:t>
      </w:r>
    </w:p>
    <w:p>
      <w:r>
        <w:t>A critical CVE affecting Microsoft Exchange may allow remote code execution. Administrators should patch affected systems.</w:t>
      </w:r>
    </w:p>
    <w:p>
      <w:r>
        <w:rPr>
          <w:b/>
        </w:rPr>
        <w:t xml:space="preserve">Почему важно: </w:t>
      </w:r>
      <w:r>
        <w:t>Совпадает с интересами: CVE</w:t>
      </w:r>
    </w:p>
    <w:p>
      <w:pPr>
        <w:ind w:left="432"/>
      </w:pPr>
      <w:r>
        <w:rPr>
          <w:i/>
        </w:rPr>
        <w:t>«A critical CVE affecting Microsoft Exchange may allow remote code execution.»</w:t>
      </w:r>
    </w:p>
    <w:p>
      <w:r>
        <w:rPr>
          <w:b/>
        </w:rPr>
        <w:t>Источники:</w:t>
      </w:r>
    </w:p>
    <w:p>
      <w:pPr>
        <w:pStyle w:val="ListBullet"/>
      </w:pPr>
      <w:hyperlink r:id="rId9">
        <w:r>
          <w:rPr>
            <w:u w:val="single"/>
            <w:color w:val="0563C1"/>
          </w:rPr>
          <w:t>Vendor Advisory: Critical CVE in Microsoft Exchange allows remote code execution</w:t>
        </w:r>
      </w:hyperlink>
    </w:p>
    <w:p>
      <w:pPr>
        <w:pStyle w:val="Heading1"/>
      </w:pPr>
      <w:r>
        <w:t>ransomware</w:t>
      </w:r>
    </w:p>
    <w:p>
      <w:pPr>
        <w:pStyle w:val="Heading2"/>
      </w:pPr>
      <w:r>
        <w:t>Researchers report ransomware campaign targeting enterprise infrastructure</w:t>
      </w:r>
    </w:p>
    <w:p>
      <w:r>
        <w:rPr>
          <w:i/>
          <w:color w:val="555555"/>
        </w:rPr>
        <w:t>Атака ·  · релевантность 77%</w:t>
      </w:r>
    </w:p>
    <w:p>
      <w:r>
        <w:t>A ransomware campaign targets enterprise infrastructure and Windows servers.</w:t>
      </w:r>
    </w:p>
    <w:p>
      <w:r>
        <w:rPr>
          <w:b/>
        </w:rPr>
        <w:t xml:space="preserve">Почему важно: </w:t>
      </w:r>
      <w:r>
        <w:t>Совпадает с интересами: ransomware</w:t>
      </w:r>
    </w:p>
    <w:p>
      <w:pPr>
        <w:ind w:left="432"/>
      </w:pPr>
      <w:r>
        <w:rPr>
          <w:i/>
        </w:rPr>
        <w:t>«A ransomware campaign targets enterprise infrastructure and Windows servers.»</w:t>
      </w:r>
    </w:p>
    <w:p>
      <w:r>
        <w:rPr>
          <w:b/>
        </w:rPr>
        <w:t>Источники:</w:t>
      </w:r>
    </w:p>
    <w:p>
      <w:pPr>
        <w:pStyle w:val="ListBullet"/>
      </w:pPr>
      <w:hyperlink r:id="rId10">
        <w:r>
          <w:rPr>
            <w:u w:val="single"/>
            <w:color w:val="0563C1"/>
          </w:rPr>
          <w:t>Security News: Researchers report ransomware campaign targeting enterprise infrastructure</w:t>
        </w:r>
      </w:hyperlink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exchange-cve" TargetMode="External"/><Relationship Id="rId10" Type="http://schemas.openxmlformats.org/officeDocument/2006/relationships/hyperlink" Target="https://example.org/ransom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