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Landing de cotización de Petra: comparación con el sitio</w:t>
      </w:r>
    </w:p>
    <w:p>
      <w:pPr>
        <w:spacing w:after="12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Cada punto muestra el pantallazo de la landing (petrafuneraria.com/cotizar-funeral/) y debajo el pantallazo del sitio de Petra donde está publicado lo mismo. Capturas del 30-09-2026.</w:t>
      </w:r>
    </w:p>
    <w:p>
      <w:pPr>
        <w:pStyle w:val="Heading1"/>
        <w:keepNext/>
        <w:pBdr>
          <w:top w:val="single" w:color="BFBFBF" w:sz="4" w:space="8"/>
        </w:pBdr>
        <w:spacing w:after="60" w:before="2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1. La bajada del titular y el rango de precios</w:t>
      </w:r>
    </w:p>
    <w:p>
      <w:pPr>
        <w:keepNext/>
        <w:spacing w:after="50" w:before="60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En la landing</w:t>
      </w:r>
    </w:p>
    <w:p>
      <w:pPr>
        <w:keepNext/>
        <w:spacing w:after="70"/>
      </w:pPr>
      <w:r>
        <w:drawing>
          <wp:inline distT="0" distB="0" distL="0" distR="0">
            <wp:extent cx="4476750" cy="657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50" w:before="60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En el sitio de Petra</w:t>
      </w: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·  petrafuneraria.com (portada)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120"/>
            </w:tcMar>
            <w:vAlign w:val="top"/>
          </w:tcPr>
          <w:p>
            <w:pPr>
              <w:keepNext w:val="false"/>
              <w:spacing w:after="40"/>
            </w:pPr>
            <w:r>
              <w:drawing>
                <wp:inline distT="0" distB="0" distL="0" distR="0">
                  <wp:extent cx="3143250" cy="962025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120"/>
            </w:tcMar>
            <w:vAlign w:val="top"/>
          </w:tcPr>
          <w:p>
            <w:pPr>
              <w:keepNext w:val="false"/>
              <w:spacing w:after="40"/>
            </w:pPr>
            <w:r>
              <w:drawing>
                <wp:inline distT="0" distB="0" distL="0" distR="0">
                  <wp:extent cx="2857500" cy="390525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spacing w:after="40"/>
            </w:pPr>
            <w:r>
              <w:drawing>
                <wp:inline distT="0" distB="0" distL="0" distR="0">
                  <wp:extent cx="2857500" cy="390525"/>
                  <wp:effectExtent t="0" r="0" b="0" l="0"/>
                  <wp:docPr id="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keepNext/>
        <w:pBdr>
          <w:top w:val="single" w:color="BFBFBF" w:sz="4" w:space="8"/>
        </w:pBdr>
        <w:spacing w:after="60" w:before="2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2. Día y noche, trámites y cuota mortuoria</w:t>
      </w:r>
    </w:p>
    <w:p>
      <w:pPr>
        <w:keepNext/>
        <w:spacing w:after="50" w:before="60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En la landing</w:t>
      </w:r>
    </w:p>
    <w:p>
      <w:pPr>
        <w:keepNext/>
        <w:spacing w:after="70"/>
      </w:pPr>
      <w:r>
        <w:drawing>
          <wp:inline distT="0" distB="0" distL="0" distR="0">
            <wp:extent cx="5143500" cy="9715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50" w:before="60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En el sitio de Petra</w:t>
      </w: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·  petrafuneraria.com/preguntas-frecuentes/</w:t>
      </w:r>
    </w:p>
    <w:p>
      <w:pPr>
        <w:keepNext/>
        <w:spacing w:after="70"/>
      </w:pPr>
      <w:r>
        <w:drawing>
          <wp:inline distT="0" distB="0" distL="0" distR="0">
            <wp:extent cx="4762500" cy="7239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70"/>
      </w:pPr>
      <w:r>
        <w:drawing>
          <wp:inline distT="0" distB="0" distL="0" distR="0">
            <wp:extent cx="4762500" cy="86677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70"/>
      </w:pPr>
      <w:r>
        <w:drawing>
          <wp:inline distT="0" distB="0" distL="0" distR="0">
            <wp:extent cx="4762500" cy="154305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Bdr>
          <w:top w:val="single" w:color="BFBFBF" w:sz="4" w:space="8"/>
        </w:pBdr>
        <w:spacing w:after="60" w:before="2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 El título y la bajada de la sección de planes</w:t>
      </w:r>
    </w:p>
    <w:p>
      <w:pPr>
        <w:keepNext/>
        <w:spacing w:after="50" w:before="60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En la landing</w:t>
      </w:r>
    </w:p>
    <w:p>
      <w:pPr>
        <w:keepNext/>
        <w:spacing w:after="70"/>
      </w:pPr>
      <w:r>
        <w:drawing>
          <wp:inline distT="0" distB="0" distL="0" distR="0">
            <wp:extent cx="4572000" cy="165735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50" w:before="60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En el sitio de Petra</w:t>
      </w: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·  petrafuneraria.com/planes-de-servicios-funebres/</w:t>
      </w:r>
    </w:p>
    <w:p>
      <w:pPr>
        <w:keepNext w:val="false"/>
        <w:spacing w:after="70"/>
      </w:pPr>
      <w:r>
        <w:drawing>
          <wp:inline distT="0" distB="0" distL="0" distR="0">
            <wp:extent cx="4953000" cy="1114425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Bdr>
          <w:top w:val="single" w:color="BFBFBF" w:sz="4" w:space="8"/>
        </w:pBdr>
        <w:spacing w:after="60" w:before="2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 Ópalo: 3 planes, desde 52 UF hasta 69 UF</w:t>
      </w:r>
    </w:p>
    <w:p>
      <w:pPr>
        <w:keepNext/>
        <w:spacing w:after="50" w:before="60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En la landing</w:t>
      </w:r>
    </w:p>
    <w:p>
      <w:pPr>
        <w:keepNext/>
        <w:spacing w:after="70"/>
      </w:pPr>
      <w:r>
        <w:drawing>
          <wp:inline distT="0" distB="0" distL="0" distR="0">
            <wp:extent cx="4476750" cy="1800225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50" w:before="60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En el sitio de Petra</w:t>
      </w: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·  petrafuneraria.com (portada) y petrafuneraria.com/planes-de-servicios-funebres/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120"/>
            </w:tcMar>
            <w:vAlign w:val="top"/>
          </w:tcPr>
          <w:p>
            <w:pPr>
              <w:keepNext w:val="false"/>
              <w:spacing w:after="40"/>
            </w:pPr>
            <w:r>
              <w:drawing>
                <wp:inline distT="0" distB="0" distL="0" distR="0">
                  <wp:extent cx="2857500" cy="390525"/>
                  <wp:effectExtent t="0" r="0" b="0" l="0"/>
                  <wp:docPr id="1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120"/>
            </w:tcMar>
            <w:vAlign w:val="top"/>
          </w:tcPr>
          <w:p>
            <w:pPr>
              <w:keepNext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Ópalo 1 · incluido en el plan y precio</w:t>
            </w:r>
          </w:p>
          <w:p>
            <w:pPr>
              <w:keepNext w:val="false"/>
              <w:spacing w:after="40"/>
            </w:pPr>
            <w:r>
              <w:drawing>
                <wp:inline distT="0" distB="0" distL="0" distR="0">
                  <wp:extent cx="1943100" cy="2857500"/>
                  <wp:effectExtent t="0" r="0" b="0" l="0"/>
                  <wp:docPr id="1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keepNext/>
        <w:pBdr>
          <w:top w:val="single" w:color="BFBFBF" w:sz="4" w:space="8"/>
        </w:pBdr>
        <w:spacing w:after="60" w:before="2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5. Ónix: 5 planes, desde 85 UF hasta 200 UF</w:t>
      </w:r>
    </w:p>
    <w:p>
      <w:pPr>
        <w:keepNext/>
        <w:spacing w:after="50" w:before="60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En la landing</w:t>
      </w:r>
    </w:p>
    <w:p>
      <w:pPr>
        <w:keepNext/>
        <w:spacing w:after="70"/>
      </w:pPr>
      <w:r>
        <w:drawing>
          <wp:inline distT="0" distB="0" distL="0" distR="0">
            <wp:extent cx="4476750" cy="1800225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50" w:before="60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En el sitio de Petra</w:t>
      </w: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·  petrafuneraria.com (portada) y petrafuneraria.com/planes-de-servicios-funebres/</w:t>
      </w:r>
    </w:p>
    <w:p>
      <w:pPr>
        <w:keepNext/>
        <w:spacing w:after="70"/>
      </w:pPr>
      <w:r>
        <w:drawing>
          <wp:inline distT="0" distB="0" distL="0" distR="0">
            <wp:extent cx="2857500" cy="390525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120"/>
            </w:tcMar>
            <w:vAlign w:val="top"/>
          </w:tcPr>
          <w:p>
            <w:pPr>
              <w:keepNext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Ónix 1 · incluido y precio</w:t>
            </w:r>
          </w:p>
          <w:p>
            <w:pPr>
              <w:keepNext w:val="false"/>
              <w:spacing w:after="40"/>
            </w:pPr>
            <w:r>
              <w:drawing>
                <wp:inline distT="0" distB="0" distL="0" distR="0">
                  <wp:extent cx="1952625" cy="3190875"/>
                  <wp:effectExtent t="0" r="0" b="0" l="0"/>
                  <wp:docPr id="1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120"/>
            </w:tcMar>
            <w:vAlign w:val="top"/>
          </w:tcPr>
          <w:p>
            <w:pPr>
              <w:keepNext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Ónix 2 · incluido y precio</w:t>
            </w:r>
          </w:p>
          <w:p>
            <w:pPr>
              <w:keepNext w:val="false"/>
              <w:spacing w:after="40"/>
            </w:pPr>
            <w:r>
              <w:drawing>
                <wp:inline distT="0" distB="0" distL="0" distR="0">
                  <wp:extent cx="1952625" cy="3686175"/>
                  <wp:effectExtent t="0" r="0" b="0" l="0"/>
                  <wp:docPr id="1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3686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120"/>
            </w:tcMar>
            <w:vAlign w:val="top"/>
          </w:tcPr>
          <w:p>
            <w:pPr>
              <w:keepNext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Ónix 3 · incluido y precio</w:t>
            </w:r>
          </w:p>
          <w:p>
            <w:pPr>
              <w:keepNext w:val="false"/>
              <w:spacing w:after="40"/>
            </w:pPr>
            <w:r>
              <w:drawing>
                <wp:inline distT="0" distB="0" distL="0" distR="0">
                  <wp:extent cx="1638300" cy="4000500"/>
                  <wp:effectExtent t="0" r="0" b="0" l="0"/>
                  <wp:docPr id="1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400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keepNext/>
        <w:pBdr>
          <w:top w:val="single" w:color="BFBFBF" w:sz="4" w:space="8"/>
        </w:pBdr>
        <w:spacing w:after="60" w:before="2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6. Teléfono, descripción y ubicación</w:t>
      </w:r>
    </w:p>
    <w:p>
      <w:pPr>
        <w:keepNext/>
        <w:spacing w:after="50" w:before="60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En la landing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120"/>
            </w:tcMar>
            <w:vAlign w:val="top"/>
          </w:tcPr>
          <w:p>
            <w:pPr>
              <w:keepNext/>
              <w:spacing w:after="40"/>
            </w:pPr>
            <w:r>
              <w:drawing>
                <wp:inline distT="0" distB="0" distL="0" distR="0">
                  <wp:extent cx="3048000" cy="476250"/>
                  <wp:effectExtent t="0" r="0" b="0" l="0"/>
                  <wp:docPr id="1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120"/>
            </w:tcMar>
            <w:vAlign w:val="top"/>
          </w:tcPr>
          <w:p>
            <w:pPr>
              <w:keepNext/>
              <w:spacing w:after="40"/>
            </w:pPr>
            <w:r>
              <w:drawing>
                <wp:inline distT="0" distB="0" distL="0" distR="0">
                  <wp:extent cx="3048000" cy="409575"/>
                  <wp:effectExtent t="0" r="0" b="0" l="0"/>
                  <wp:docPr id="2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50" w:before="60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En el sitio de Petra</w:t>
      </w: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·  petrafuneraria.com (pie de página de todo el sitio)</w:t>
      </w:r>
    </w:p>
    <w:p>
      <w:pPr>
        <w:keepNext w:val="false"/>
        <w:spacing w:after="70"/>
      </w:pPr>
      <w:r>
        <w:drawing>
          <wp:inline distT="0" distB="0" distL="0" distR="0">
            <wp:extent cx="5143500" cy="1076325"/>
            <wp:effectExtent t="0" r="0" b="0" l="0"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Bdr>
          <w:top w:val="single" w:color="BFBFBF" w:sz="4" w:space="8"/>
        </w:pBdr>
        <w:spacing w:after="60" w:before="2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7. La autorización de datos del formulario</w:t>
      </w:r>
    </w:p>
    <w:p>
      <w:pPr>
        <w:keepNext/>
        <w:spacing w:after="50" w:before="60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En la landing</w:t>
      </w:r>
    </w:p>
    <w:p>
      <w:pPr>
        <w:keepNext/>
        <w:spacing w:after="70"/>
      </w:pPr>
      <w:r>
        <w:drawing>
          <wp:inline distT="0" distB="0" distL="0" distR="0">
            <wp:extent cx="3810000" cy="533400"/>
            <wp:effectExtent t="0" r="0" b="0" l="0"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50" w:before="60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En el sitio de Petra</w:t>
      </w: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·  petrafuneraria.com/contacto/</w:t>
      </w:r>
    </w:p>
    <w:p>
      <w:pPr>
        <w:keepNext w:val="false"/>
        <w:spacing w:after="70"/>
      </w:pPr>
      <w:r>
        <w:drawing>
          <wp:inline distT="0" distB="0" distL="0" distR="0">
            <wp:extent cx="4381500" cy="638175"/>
            <wp:effectExtent t="0" r="0" b="0" l="0"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Bdr>
          <w:top w:val="single" w:color="BFBFBF" w:sz="4" w:space="8"/>
        </w:pBdr>
        <w:spacing w:after="60" w:before="2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8. La foto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120"/>
            </w:tcMar>
            <w:vAlign w:val="top"/>
          </w:tcPr>
          <w:p>
            <w:pPr>
              <w:keepNext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 la landing</w:t>
            </w:r>
          </w:p>
          <w:p>
            <w:pPr>
              <w:keepNext w:val="false"/>
              <w:spacing w:after="40"/>
            </w:pPr>
            <w:r>
              <w:drawing>
                <wp:inline distT="0" distB="0" distL="0" distR="0">
                  <wp:extent cx="2381250" cy="1371600"/>
                  <wp:effectExtent t="0" r="0" b="0" l="0"/>
                  <wp:docPr id="2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120"/>
            </w:tcMar>
            <w:vAlign w:val="top"/>
          </w:tcPr>
          <w:p>
            <w:pPr>
              <w:keepNext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 el sitio de Petra · portada</w:t>
            </w:r>
          </w:p>
          <w:p>
            <w:pPr>
              <w:keepNext w:val="false"/>
              <w:spacing w:after="40"/>
            </w:pPr>
            <w:r>
              <w:drawing>
                <wp:inline distT="0" distB="0" distL="0" distR="0">
                  <wp:extent cx="2762250" cy="1638300"/>
                  <wp:effectExtent t="0" r="0" b="0" l="0"/>
                  <wp:docPr id="2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footerReference w:type="default" r:id="rId6"/>
      <w:pgSz w:w="11906" w:h="16838" w:orient="portrait"/>
      <w:pgMar w:top="794" w:right="907" w:bottom="794" w:left="90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88888"/>
        <w:sz w:val="17"/>
        <w:szCs w:val="17"/>
      </w:rPr>
      <w:t xml:space="preserve">Petra · landing de cotización · </w:t>
    </w:r>
    <w:r>
      <w:rPr>
        <w:rFonts w:ascii="Calibri" w:cs="Calibri" w:eastAsia="Calibri" w:hAnsi="Calibri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200"/>
      <w:outlineLvl w:val="0"/>
    </w:pPr>
    <w:rPr>
      <w:rFonts w:ascii="Calibri" w:cs="Calibri" w:eastAsia="Calibri" w:hAnsi="Calibri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3c91bf24e8fa391f7a5afed08d81ca1183296d48.png"/><Relationship Id="rId9" Type="http://schemas.openxmlformats.org/officeDocument/2006/relationships/image" Target="media/dc6860d6fc47191e54be3f6fc602fe2f4be69a3e.png"/><Relationship Id="rId10" Type="http://schemas.openxmlformats.org/officeDocument/2006/relationships/image" Target="media/48e03e5e87e608afdc8e2813375ba521a108260c.png"/><Relationship Id="rId11" Type="http://schemas.openxmlformats.org/officeDocument/2006/relationships/image" Target="media/d2ad948b5b831ee45ba621ad67960e22a9d967b7.png"/><Relationship Id="rId12" Type="http://schemas.openxmlformats.org/officeDocument/2006/relationships/image" Target="media/98300288af9138322da651d3c09d163fa1fbc38a.png"/><Relationship Id="rId13" Type="http://schemas.openxmlformats.org/officeDocument/2006/relationships/image" Target="media/5c4ec311875ea66f3b1a8b45f699f3e5290302ec.png"/><Relationship Id="rId14" Type="http://schemas.openxmlformats.org/officeDocument/2006/relationships/image" Target="media/6a2cd4fb4f470ffa6075ffcda123e2d1387d4762.png"/><Relationship Id="rId15" Type="http://schemas.openxmlformats.org/officeDocument/2006/relationships/image" Target="media/23f8acf1d54614d11a6f533176d4418e9a9a373c.png"/><Relationship Id="rId16" Type="http://schemas.openxmlformats.org/officeDocument/2006/relationships/image" Target="media/51ff481dbb0afc108d22f0d48fa3086827059010.png"/><Relationship Id="rId17" Type="http://schemas.openxmlformats.org/officeDocument/2006/relationships/image" Target="media/fa830e0864184b4b251bc8f0eba3e68aa568f239.png"/><Relationship Id="rId18" Type="http://schemas.openxmlformats.org/officeDocument/2006/relationships/image" Target="media/8a80eedba3b8dd70c1069ad46ebc3e43671832a4.png"/><Relationship Id="rId19" Type="http://schemas.openxmlformats.org/officeDocument/2006/relationships/image" Target="media/1106db87a602a0b5849bdb4e07d58aae78ebe829.png"/><Relationship Id="rId20" Type="http://schemas.openxmlformats.org/officeDocument/2006/relationships/image" Target="media/436a7b0fe1fc4b6309c0e086e244471f2242ccbb.png"/><Relationship Id="rId21" Type="http://schemas.openxmlformats.org/officeDocument/2006/relationships/image" Target="media/6f227fb7bc9ec5f7b2a84435cd5cec44afe1b83e.png"/><Relationship Id="rId22" Type="http://schemas.openxmlformats.org/officeDocument/2006/relationships/image" Target="media/5ada9ac7c197676855d88771ac8bdac7c71919eb.png"/><Relationship Id="rId23" Type="http://schemas.openxmlformats.org/officeDocument/2006/relationships/image" Target="media/4e891b1f78f7f726165997bfeb23c496a31d8f3b.png"/><Relationship Id="rId24" Type="http://schemas.openxmlformats.org/officeDocument/2006/relationships/image" Target="media/daafa72802013f945a8cb4ef85307c8f0a70ce64.png"/><Relationship Id="rId25" Type="http://schemas.openxmlformats.org/officeDocument/2006/relationships/image" Target="media/ae6364a5a22069e2036d462f75bc0ba7d86ddc12.png"/><Relationship Id="rId26" Type="http://schemas.openxmlformats.org/officeDocument/2006/relationships/image" Target="media/a4ecc526dc88f50d2b97e92e5ef5694d44a50e03.png"/><Relationship Id="rId27" Type="http://schemas.openxmlformats.org/officeDocument/2006/relationships/image" Target="media/398574e0294c748bbf3f21fed308c116882b62bd.png"/><Relationship Id="rId28" Type="http://schemas.openxmlformats.org/officeDocument/2006/relationships/image" Target="media/c95e1cbbed48ec603587f529c61acc16986141d4.png"/><Relationship Id="rId29" Type="http://schemas.openxmlformats.org/officeDocument/2006/relationships/image" Target="media/10e9f8a6ba87b043cb0a6817b399925176aa2ad6.png"/><Relationship Id="rId30" Type="http://schemas.openxmlformats.org/officeDocument/2006/relationships/image" Target="media/90c620c5bb1c122699da52506941cee985544181.pn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Landing de cotización de Petra: comparación con el sitio</dc:title>
  <dc:creator>Copywriters</dc:creator>
  <cp:lastModifiedBy>Un-named</cp:lastModifiedBy>
  <cp:revision>1</cp:revision>
  <dcterms:created xsi:type="dcterms:W3CDTF">2026-09-30T13:13:10.193Z</dcterms:created>
  <dcterms:modified xsi:type="dcterms:W3CDTF">2026-09-30T13:13:10.194Z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