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B731" w14:textId="77777777" w:rsidR="00A86FA8" w:rsidRDefault="00A86FA8" w:rsidP="00A86FA8">
      <w:pPr>
        <w:spacing w:after="40"/>
        <w:jc w:val="center"/>
        <w:rPr>
          <w:b/>
          <w:bCs/>
          <w:color w:val="595959"/>
          <w:sz w:val="20"/>
          <w:szCs w:val="20"/>
        </w:rPr>
      </w:pPr>
      <w:r w:rsidRPr="00C74B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1BF7C7" wp14:editId="10FD3396">
            <wp:extent cx="5943600" cy="1664335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99078" w14:textId="77777777" w:rsidR="00A86FA8" w:rsidRPr="00AC72FE" w:rsidRDefault="00A86FA8" w:rsidP="00A86FA8">
      <w:pPr>
        <w:spacing w:after="40"/>
        <w:jc w:val="center"/>
        <w:rPr>
          <w:b/>
          <w:bCs/>
          <w:color w:val="002060"/>
          <w:sz w:val="24"/>
          <w:szCs w:val="24"/>
        </w:rPr>
      </w:pPr>
      <w:r w:rsidRPr="00AC72FE">
        <w:rPr>
          <w:b/>
          <w:bCs/>
          <w:color w:val="002060"/>
          <w:sz w:val="24"/>
          <w:szCs w:val="24"/>
        </w:rPr>
        <w:t>BUSITEMA UNIVERSITY ARTIFICIAL INTELLIGENCE AND INTERDISCIPLINARY RESEARCH</w:t>
      </w:r>
    </w:p>
    <w:p w14:paraId="221811E1" w14:textId="77777777" w:rsidR="00A86FA8" w:rsidRPr="00AC72FE" w:rsidRDefault="00A86FA8" w:rsidP="00A86FA8">
      <w:pPr>
        <w:spacing w:after="40"/>
        <w:jc w:val="center"/>
        <w:rPr>
          <w:color w:val="002060"/>
          <w:sz w:val="24"/>
          <w:szCs w:val="24"/>
        </w:rPr>
      </w:pPr>
      <w:r w:rsidRPr="00AC72FE">
        <w:rPr>
          <w:b/>
          <w:bCs/>
          <w:color w:val="002060"/>
          <w:sz w:val="24"/>
          <w:szCs w:val="24"/>
        </w:rPr>
        <w:t>INTERNSHIP PROGRAMME</w:t>
      </w:r>
    </w:p>
    <w:p w14:paraId="1072A6C1" w14:textId="18DF78A7" w:rsidR="00A86FA8" w:rsidRPr="00AC72FE" w:rsidRDefault="00A86FA8" w:rsidP="00A86FA8">
      <w:pPr>
        <w:spacing w:after="40"/>
        <w:jc w:val="center"/>
        <w:rPr>
          <w:b/>
          <w:bCs/>
          <w:color w:val="002060"/>
          <w:sz w:val="24"/>
          <w:szCs w:val="24"/>
        </w:rPr>
      </w:pPr>
      <w:r w:rsidRPr="00AC72FE">
        <w:rPr>
          <w:b/>
          <w:bCs/>
          <w:color w:val="002060"/>
          <w:sz w:val="24"/>
          <w:szCs w:val="24"/>
        </w:rPr>
        <w:t xml:space="preserve">Week 1 — Day </w:t>
      </w:r>
      <w:r>
        <w:rPr>
          <w:b/>
          <w:bCs/>
          <w:color w:val="002060"/>
          <w:sz w:val="24"/>
          <w:szCs w:val="24"/>
        </w:rPr>
        <w:t>2</w:t>
      </w:r>
      <w:r w:rsidRPr="00AC72FE">
        <w:rPr>
          <w:b/>
          <w:bCs/>
          <w:color w:val="002060"/>
          <w:sz w:val="24"/>
          <w:szCs w:val="24"/>
        </w:rPr>
        <w:t xml:space="preserve">: </w:t>
      </w:r>
      <w:r>
        <w:rPr>
          <w:b/>
          <w:bCs/>
          <w:color w:val="002060"/>
          <w:sz w:val="24"/>
          <w:szCs w:val="24"/>
        </w:rPr>
        <w:t>Machine Translation</w:t>
      </w:r>
    </w:p>
    <w:p w14:paraId="0F93E9D9" w14:textId="18DFB422" w:rsidR="00A86FA8" w:rsidRPr="00A86FA8" w:rsidRDefault="00A86FA8" w:rsidP="00A86FA8">
      <w:pPr>
        <w:spacing w:after="200"/>
        <w:jc w:val="center"/>
        <w:rPr>
          <w:color w:val="3B3838" w:themeColor="background2" w:themeShade="40"/>
          <w:sz w:val="28"/>
          <w:szCs w:val="28"/>
        </w:rPr>
      </w:pPr>
      <w:r w:rsidRPr="00AC72FE">
        <w:rPr>
          <w:color w:val="3B3838" w:themeColor="background2" w:themeShade="40"/>
          <w:sz w:val="28"/>
          <w:szCs w:val="28"/>
        </w:rPr>
        <w:t>Practical Assignment Report</w:t>
      </w:r>
    </w:p>
    <w:p w14:paraId="387EF403" w14:textId="77777777" w:rsidR="00A86FA8" w:rsidRPr="00AC72FE" w:rsidRDefault="00A86FA8" w:rsidP="00A86FA8">
      <w:pPr>
        <w:spacing w:after="40"/>
        <w:rPr>
          <w:sz w:val="28"/>
          <w:szCs w:val="28"/>
        </w:rPr>
      </w:pPr>
      <w:r w:rsidRPr="00AC72FE">
        <w:rPr>
          <w:b/>
          <w:bCs/>
          <w:sz w:val="28"/>
          <w:szCs w:val="28"/>
        </w:rPr>
        <w:t xml:space="preserve">Name: </w:t>
      </w:r>
      <w:r w:rsidRPr="00AC72FE">
        <w:rPr>
          <w:sz w:val="28"/>
          <w:szCs w:val="28"/>
        </w:rPr>
        <w:t>Mangara Emmanuel Fred</w:t>
      </w:r>
    </w:p>
    <w:p w14:paraId="7963EA2F" w14:textId="77777777" w:rsidR="00A86FA8" w:rsidRPr="00633653" w:rsidRDefault="00A86FA8" w:rsidP="00A86FA8">
      <w:pPr>
        <w:spacing w:after="40"/>
        <w:rPr>
          <w:sz w:val="28"/>
          <w:szCs w:val="28"/>
        </w:rPr>
      </w:pPr>
      <w:r w:rsidRPr="00AC72FE">
        <w:rPr>
          <w:b/>
          <w:bCs/>
          <w:sz w:val="24"/>
          <w:szCs w:val="24"/>
        </w:rPr>
        <w:t xml:space="preserve">Instructor: </w:t>
      </w:r>
      <w:r w:rsidRPr="00AC72FE">
        <w:rPr>
          <w:sz w:val="28"/>
          <w:szCs w:val="28"/>
        </w:rPr>
        <w:t>Eng Tobius Saul</w:t>
      </w:r>
    </w:p>
    <w:p w14:paraId="636C8305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1. Dataset</w:t>
      </w:r>
    </w:p>
    <w:p w14:paraId="54EB3693" w14:textId="77777777" w:rsidR="00635A50" w:rsidRDefault="00000000">
      <w:pPr>
        <w:spacing w:after="120" w:line="276" w:lineRule="auto"/>
      </w:pPr>
      <w:r>
        <w:t>The task was carried out on the Helsinki-NLP OPUS Books corpus (</w:t>
      </w:r>
      <w:proofErr w:type="spellStart"/>
      <w:r>
        <w:t>en</w:t>
      </w:r>
      <w:proofErr w:type="spellEnd"/>
      <w:r>
        <w:t>-es configuration), a literary parallel corpus of copyright-free books aligned sentence-by-sentence between English and Spanish. The full corpus contains 93,470 sentence pairs; after filtering to sentences of reasonable length (3–30 words on both sides), 64,269 pairs remained.</w:t>
      </w:r>
    </w:p>
    <w:p w14:paraId="5E99847C" w14:textId="77777777" w:rsidR="00635A50" w:rsidRDefault="00000000">
      <w:pPr>
        <w:spacing w:after="120" w:line="276" w:lineRule="auto"/>
      </w:pPr>
      <w:r>
        <w:t>Language pair: English → Spanish (</w:t>
      </w:r>
      <w:proofErr w:type="spellStart"/>
      <w:r>
        <w:t>en</w:t>
      </w:r>
      <w:proofErr w:type="spellEnd"/>
      <w:r>
        <w:t xml:space="preserve"> → es).</w:t>
      </w:r>
    </w:p>
    <w:p w14:paraId="427C7625" w14:textId="77777777" w:rsidR="00635A50" w:rsidRDefault="00000000">
      <w:pPr>
        <w:spacing w:after="120" w:line="276" w:lineRule="auto"/>
      </w:pPr>
      <w:r>
        <w:t>Sample size: training ran on CPU rather than GPU, so a subsample of 1,500 sentence pairs was used (1,350 for training, 150 held out for testing) to keep runtime practical. The same train/test split was used for every model, for a fair comparison.</w:t>
      </w:r>
    </w:p>
    <w:p w14:paraId="3BCD2EE7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2. Models</w:t>
      </w:r>
    </w:p>
    <w:p w14:paraId="498D1601" w14:textId="77777777" w:rsidR="00635A50" w:rsidRDefault="00000000">
      <w:pPr>
        <w:spacing w:after="120" w:line="276" w:lineRule="auto"/>
      </w:pPr>
      <w:r>
        <w:t>Three translation approaches were trained and evaluated on the identical train/test split, as required for this task:</w:t>
      </w:r>
    </w:p>
    <w:p w14:paraId="44920625" w14:textId="77777777" w:rsidR="00635A50" w:rsidRDefault="00000000">
      <w:pPr>
        <w:pStyle w:val="ListParagraph"/>
        <w:numPr>
          <w:ilvl w:val="0"/>
          <w:numId w:val="1"/>
        </w:numPr>
        <w:spacing w:after="60"/>
      </w:pPr>
      <w:r>
        <w:t>Statistical/rule-based baseline — a word-level dictionary translator built from positional word alignment on the training pairs.</w:t>
      </w:r>
    </w:p>
    <w:p w14:paraId="310294DB" w14:textId="77777777" w:rsidR="00635A50" w:rsidRDefault="00000000">
      <w:pPr>
        <w:pStyle w:val="ListParagraph"/>
        <w:numPr>
          <w:ilvl w:val="0"/>
          <w:numId w:val="1"/>
        </w:numPr>
        <w:spacing w:after="60"/>
      </w:pPr>
      <w:r>
        <w:t>Seq2Seq from scratch — a GRU encoder–decoder (no attention), trained from randomly initialised weights on the 1,350 training pairs for 8 epochs.</w:t>
      </w:r>
    </w:p>
    <w:p w14:paraId="4B15601D" w14:textId="77777777" w:rsidR="00635A50" w:rsidRDefault="00000000">
      <w:pPr>
        <w:pStyle w:val="ListParagraph"/>
        <w:numPr>
          <w:ilvl w:val="0"/>
          <w:numId w:val="1"/>
        </w:numPr>
        <w:spacing w:after="60"/>
      </w:pPr>
      <w:r>
        <w:t>Fine-tuned pretrained model — Helsinki-NLP/opus-mt-</w:t>
      </w:r>
      <w:proofErr w:type="spellStart"/>
      <w:r>
        <w:t>en</w:t>
      </w:r>
      <w:proofErr w:type="spellEnd"/>
      <w:r>
        <w:t>-es (</w:t>
      </w:r>
      <w:proofErr w:type="spellStart"/>
      <w:r>
        <w:t>MarianMT</w:t>
      </w:r>
      <w:proofErr w:type="spellEnd"/>
      <w:r>
        <w:t>), evaluated both before and after fine-tuning on the training pairs for 1 epoch.</w:t>
      </w:r>
    </w:p>
    <w:p w14:paraId="0E15081D" w14:textId="77777777" w:rsidR="00635A50" w:rsidRDefault="00000000">
      <w:pPr>
        <w:spacing w:after="120" w:line="276" w:lineRule="auto"/>
      </w:pPr>
      <w:r>
        <w:t>All models were scored with corpus-level BLEU on the same 150-sentence test set.</w:t>
      </w:r>
    </w:p>
    <w:p w14:paraId="57E4F043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3. Results</w:t>
      </w:r>
    </w:p>
    <w:p w14:paraId="04E22F3B" w14:textId="77777777" w:rsidR="00635A50" w:rsidRDefault="00000000">
      <w:pPr>
        <w:spacing w:after="120" w:line="276" w:lineRule="auto"/>
      </w:pPr>
      <w:r>
        <w:t xml:space="preserve">The table below ranks all four evaluated configurations (three required models, plus the pretrained-before-fine-tuning </w:t>
      </w:r>
      <w:proofErr w:type="spellStart"/>
      <w:r>
        <w:t>MarianMT</w:t>
      </w:r>
      <w:proofErr w:type="spellEnd"/>
      <w:r>
        <w:t xml:space="preserve"> checkpoint for comparison) by BLEU score.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6600"/>
        <w:gridCol w:w="3000"/>
      </w:tblGrid>
      <w:tr w:rsidR="00635A50" w14:paraId="7EE2A9D8" w14:textId="77777777" w:rsidTr="00A86FA8">
        <w:tc>
          <w:tcPr>
            <w:tcW w:w="6600" w:type="dxa"/>
          </w:tcPr>
          <w:p w14:paraId="743AABB1" w14:textId="77777777" w:rsidR="00635A50" w:rsidRPr="00A86FA8" w:rsidRDefault="00000000">
            <w:pPr>
              <w:rPr>
                <w:color w:val="000000" w:themeColor="text1"/>
              </w:rPr>
            </w:pPr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>Model</w:t>
            </w:r>
          </w:p>
        </w:tc>
        <w:tc>
          <w:tcPr>
            <w:tcW w:w="3000" w:type="dxa"/>
          </w:tcPr>
          <w:p w14:paraId="09D9AD86" w14:textId="77777777" w:rsidR="00635A50" w:rsidRPr="00A86FA8" w:rsidRDefault="00000000">
            <w:pPr>
              <w:jc w:val="center"/>
              <w:rPr>
                <w:color w:val="000000" w:themeColor="text1"/>
              </w:rPr>
            </w:pPr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>BLEU Score</w:t>
            </w:r>
          </w:p>
        </w:tc>
      </w:tr>
      <w:tr w:rsidR="00635A50" w14:paraId="1113B8A6" w14:textId="77777777" w:rsidTr="00A86FA8">
        <w:tc>
          <w:tcPr>
            <w:tcW w:w="6600" w:type="dxa"/>
          </w:tcPr>
          <w:p w14:paraId="589ABE33" w14:textId="77777777" w:rsidR="00635A50" w:rsidRDefault="00000000">
            <w:proofErr w:type="spellStart"/>
            <w:r>
              <w:rPr>
                <w:color w:val="000000"/>
                <w:sz w:val="19"/>
                <w:szCs w:val="19"/>
              </w:rPr>
              <w:t>MarianMT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(fine-tuned)</w:t>
            </w:r>
          </w:p>
        </w:tc>
        <w:tc>
          <w:tcPr>
            <w:tcW w:w="3000" w:type="dxa"/>
          </w:tcPr>
          <w:p w14:paraId="437F98BF" w14:textId="77777777" w:rsidR="00635A5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19.70</w:t>
            </w:r>
          </w:p>
        </w:tc>
      </w:tr>
      <w:tr w:rsidR="00635A50" w14:paraId="1F5605CF" w14:textId="77777777" w:rsidTr="00A86FA8">
        <w:tc>
          <w:tcPr>
            <w:tcW w:w="6600" w:type="dxa"/>
          </w:tcPr>
          <w:p w14:paraId="3C9F62F0" w14:textId="77777777" w:rsidR="00635A50" w:rsidRDefault="00000000">
            <w:proofErr w:type="spellStart"/>
            <w:r>
              <w:rPr>
                <w:color w:val="000000"/>
                <w:sz w:val="19"/>
                <w:szCs w:val="19"/>
              </w:rPr>
              <w:t>MarianMT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(pretrained, not fine-tuned)</w:t>
            </w:r>
          </w:p>
        </w:tc>
        <w:tc>
          <w:tcPr>
            <w:tcW w:w="3000" w:type="dxa"/>
          </w:tcPr>
          <w:p w14:paraId="49A37897" w14:textId="77777777" w:rsidR="00635A5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19.16</w:t>
            </w:r>
          </w:p>
        </w:tc>
      </w:tr>
      <w:tr w:rsidR="00635A50" w14:paraId="3AE6C634" w14:textId="77777777" w:rsidTr="00A86FA8">
        <w:tc>
          <w:tcPr>
            <w:tcW w:w="6600" w:type="dxa"/>
          </w:tcPr>
          <w:p w14:paraId="42299E95" w14:textId="77777777" w:rsidR="00635A50" w:rsidRDefault="00000000">
            <w:r>
              <w:rPr>
                <w:color w:val="000000"/>
                <w:sz w:val="19"/>
                <w:szCs w:val="19"/>
              </w:rPr>
              <w:t>Baseline (Dictionary)</w:t>
            </w:r>
          </w:p>
        </w:tc>
        <w:tc>
          <w:tcPr>
            <w:tcW w:w="3000" w:type="dxa"/>
          </w:tcPr>
          <w:p w14:paraId="51B57F70" w14:textId="77777777" w:rsidR="00635A5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0.24</w:t>
            </w:r>
          </w:p>
        </w:tc>
      </w:tr>
      <w:tr w:rsidR="00635A50" w14:paraId="06F46111" w14:textId="77777777" w:rsidTr="00A86FA8">
        <w:tc>
          <w:tcPr>
            <w:tcW w:w="6600" w:type="dxa"/>
          </w:tcPr>
          <w:p w14:paraId="424E7C8D" w14:textId="77777777" w:rsidR="00635A50" w:rsidRDefault="00000000">
            <w:r>
              <w:rPr>
                <w:color w:val="000000"/>
                <w:sz w:val="19"/>
                <w:szCs w:val="19"/>
              </w:rPr>
              <w:t>Seq2Seq (from scratch)</w:t>
            </w:r>
          </w:p>
        </w:tc>
        <w:tc>
          <w:tcPr>
            <w:tcW w:w="3000" w:type="dxa"/>
          </w:tcPr>
          <w:p w14:paraId="580D07E2" w14:textId="77777777" w:rsidR="00635A50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0.05</w:t>
            </w:r>
          </w:p>
        </w:tc>
      </w:tr>
    </w:tbl>
    <w:p w14:paraId="683C753B" w14:textId="77777777" w:rsidR="00635A50" w:rsidRDefault="00635A50">
      <w:pPr>
        <w:sectPr w:rsidR="00635A50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726A5124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lastRenderedPageBreak/>
        <w:t xml:space="preserve">4. Best Model — Fine-tuned </w:t>
      </w:r>
      <w:proofErr w:type="spellStart"/>
      <w:r w:rsidRPr="00A86FA8">
        <w:rPr>
          <w:b/>
          <w:bCs/>
          <w:color w:val="000000" w:themeColor="text1"/>
          <w:sz w:val="26"/>
          <w:szCs w:val="26"/>
        </w:rPr>
        <w:t>MarianMT</w:t>
      </w:r>
      <w:proofErr w:type="spellEnd"/>
    </w:p>
    <w:p w14:paraId="73B7C3D1" w14:textId="77777777" w:rsidR="00635A50" w:rsidRDefault="00000000">
      <w:pPr>
        <w:spacing w:after="120" w:line="276" w:lineRule="auto"/>
      </w:pPr>
      <w:r>
        <w:t xml:space="preserve">The fine-tuned </w:t>
      </w:r>
      <w:proofErr w:type="spellStart"/>
      <w:r>
        <w:t>MarianMT</w:t>
      </w:r>
      <w:proofErr w:type="spellEnd"/>
      <w:r>
        <w:t xml:space="preserve"> model gave the strongest result, with a BLEU score of 19.70, a modest improvement over its own pretrained-but-not-fine-tuned starting point of 19.16. Sample outputs illustrate the quality gap between this model and the other two:</w:t>
      </w:r>
    </w:p>
    <w:tbl>
      <w:tblPr>
        <w:tblStyle w:val="TableGrid"/>
        <w:tblW w:w="9600" w:type="dxa"/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635A50" w14:paraId="31A17F6E" w14:textId="77777777" w:rsidTr="00A86FA8">
        <w:tc>
          <w:tcPr>
            <w:tcW w:w="3200" w:type="dxa"/>
          </w:tcPr>
          <w:p w14:paraId="6BE01EEF" w14:textId="77777777" w:rsidR="00635A50" w:rsidRPr="00A86FA8" w:rsidRDefault="00000000">
            <w:pPr>
              <w:rPr>
                <w:color w:val="000000" w:themeColor="text1"/>
              </w:rPr>
            </w:pPr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>Source (EN)</w:t>
            </w:r>
          </w:p>
        </w:tc>
        <w:tc>
          <w:tcPr>
            <w:tcW w:w="3200" w:type="dxa"/>
          </w:tcPr>
          <w:p w14:paraId="100FBA54" w14:textId="77777777" w:rsidR="00635A50" w:rsidRPr="00A86FA8" w:rsidRDefault="00000000">
            <w:pPr>
              <w:rPr>
                <w:color w:val="000000" w:themeColor="text1"/>
              </w:rPr>
            </w:pPr>
            <w:proofErr w:type="spellStart"/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>MarianMT</w:t>
            </w:r>
            <w:proofErr w:type="spellEnd"/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 xml:space="preserve"> Prediction (ES)</w:t>
            </w:r>
          </w:p>
        </w:tc>
        <w:tc>
          <w:tcPr>
            <w:tcW w:w="3200" w:type="dxa"/>
          </w:tcPr>
          <w:p w14:paraId="466BD399" w14:textId="77777777" w:rsidR="00635A50" w:rsidRPr="00A86FA8" w:rsidRDefault="00000000">
            <w:pPr>
              <w:rPr>
                <w:color w:val="000000" w:themeColor="text1"/>
              </w:rPr>
            </w:pPr>
            <w:r w:rsidRPr="00A86FA8">
              <w:rPr>
                <w:b/>
                <w:bCs/>
                <w:color w:val="000000" w:themeColor="text1"/>
                <w:sz w:val="19"/>
                <w:szCs w:val="19"/>
              </w:rPr>
              <w:t>Reference (ES)</w:t>
            </w:r>
          </w:p>
        </w:tc>
      </w:tr>
      <w:tr w:rsidR="00635A50" w14:paraId="1CABE1A2" w14:textId="77777777" w:rsidTr="00A86FA8">
        <w:tc>
          <w:tcPr>
            <w:tcW w:w="3200" w:type="dxa"/>
          </w:tcPr>
          <w:p w14:paraId="1BA2798D" w14:textId="77777777" w:rsidR="00635A50" w:rsidRDefault="00000000">
            <w:r>
              <w:rPr>
                <w:color w:val="000000"/>
                <w:sz w:val="19"/>
                <w:szCs w:val="19"/>
              </w:rPr>
              <w:t>She had finished her breakfast, so I permitted her to give a specimen of her accomplishments.</w:t>
            </w:r>
          </w:p>
        </w:tc>
        <w:tc>
          <w:tcPr>
            <w:tcW w:w="3200" w:type="dxa"/>
          </w:tcPr>
          <w:p w14:paraId="431DE0DA" w14:textId="77777777" w:rsidR="00635A50" w:rsidRDefault="00000000">
            <w:proofErr w:type="spellStart"/>
            <w:r>
              <w:rPr>
                <w:color w:val="000000"/>
                <w:sz w:val="19"/>
                <w:szCs w:val="19"/>
              </w:rPr>
              <w:t>Había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terminado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desayunar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así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que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le </w:t>
            </w:r>
            <w:proofErr w:type="spellStart"/>
            <w:r>
              <w:rPr>
                <w:color w:val="000000"/>
                <w:sz w:val="19"/>
                <w:szCs w:val="19"/>
              </w:rPr>
              <w:t>permití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muestra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sus </w:t>
            </w:r>
            <w:proofErr w:type="spellStart"/>
            <w:r>
              <w:rPr>
                <w:color w:val="000000"/>
                <w:sz w:val="19"/>
                <w:szCs w:val="19"/>
              </w:rPr>
              <w:t>logros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  <w:tc>
          <w:tcPr>
            <w:tcW w:w="3200" w:type="dxa"/>
          </w:tcPr>
          <w:p w14:paraId="6C47E1BC" w14:textId="77777777" w:rsidR="00635A50" w:rsidRDefault="00000000">
            <w:r>
              <w:rPr>
                <w:color w:val="000000"/>
                <w:sz w:val="19"/>
                <w:szCs w:val="19"/>
              </w:rPr>
              <w:t xml:space="preserve">El </w:t>
            </w:r>
            <w:proofErr w:type="spellStart"/>
            <w:r>
              <w:rPr>
                <w:color w:val="000000"/>
                <w:sz w:val="19"/>
                <w:szCs w:val="19"/>
              </w:rPr>
              <w:t>desayuno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había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concluido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  <w:szCs w:val="19"/>
              </w:rPr>
              <w:t>yo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le </w:t>
            </w:r>
            <w:proofErr w:type="spellStart"/>
            <w:r>
              <w:rPr>
                <w:color w:val="000000"/>
                <w:sz w:val="19"/>
                <w:szCs w:val="19"/>
              </w:rPr>
              <w:t>permití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que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me </w:t>
            </w:r>
            <w:proofErr w:type="spellStart"/>
            <w:r>
              <w:rPr>
                <w:color w:val="000000"/>
                <w:sz w:val="19"/>
                <w:szCs w:val="19"/>
              </w:rPr>
              <w:t>diera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una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muestra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sus </w:t>
            </w:r>
            <w:proofErr w:type="spellStart"/>
            <w:r>
              <w:rPr>
                <w:color w:val="000000"/>
                <w:sz w:val="19"/>
                <w:szCs w:val="19"/>
              </w:rPr>
              <w:t>habilidades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635A50" w14:paraId="7240BADB" w14:textId="77777777" w:rsidTr="00A86FA8">
        <w:tc>
          <w:tcPr>
            <w:tcW w:w="3200" w:type="dxa"/>
          </w:tcPr>
          <w:p w14:paraId="08FBD2E8" w14:textId="77777777" w:rsidR="00635A50" w:rsidRDefault="00000000">
            <w:r>
              <w:rPr>
                <w:color w:val="000000"/>
                <w:sz w:val="19"/>
                <w:szCs w:val="19"/>
              </w:rPr>
              <w:t>"Hey, Herbert! how capital it sounds!</w:t>
            </w:r>
          </w:p>
        </w:tc>
        <w:tc>
          <w:tcPr>
            <w:tcW w:w="3200" w:type="dxa"/>
          </w:tcPr>
          <w:p w14:paraId="3FD6B399" w14:textId="77777777" w:rsidR="00635A50" w:rsidRDefault="00000000">
            <w:r>
              <w:rPr>
                <w:color w:val="000000"/>
                <w:sz w:val="19"/>
                <w:szCs w:val="19"/>
              </w:rPr>
              <w:t>-¡Eh, Harbert! ¡</w:t>
            </w:r>
            <w:proofErr w:type="spellStart"/>
            <w:r>
              <w:rPr>
                <w:color w:val="000000"/>
                <w:sz w:val="19"/>
                <w:szCs w:val="19"/>
              </w:rPr>
              <w:t>Qué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bien </w:t>
            </w:r>
            <w:proofErr w:type="spellStart"/>
            <w:r>
              <w:rPr>
                <w:color w:val="000000"/>
                <w:sz w:val="19"/>
                <w:szCs w:val="19"/>
              </w:rPr>
              <w:t>suena</w:t>
            </w:r>
            <w:proofErr w:type="spellEnd"/>
            <w:r>
              <w:rPr>
                <w:color w:val="000000"/>
                <w:sz w:val="19"/>
                <w:szCs w:val="19"/>
              </w:rPr>
              <w:t>!</w:t>
            </w:r>
          </w:p>
        </w:tc>
        <w:tc>
          <w:tcPr>
            <w:tcW w:w="3200" w:type="dxa"/>
          </w:tcPr>
          <w:p w14:paraId="2AB4B998" w14:textId="77777777" w:rsidR="00635A50" w:rsidRDefault="00000000">
            <w:r>
              <w:rPr>
                <w:color w:val="000000"/>
                <w:sz w:val="19"/>
                <w:szCs w:val="19"/>
              </w:rPr>
              <w:t xml:space="preserve">–¡Harbert, </w:t>
            </w:r>
            <w:proofErr w:type="spellStart"/>
            <w:r>
              <w:rPr>
                <w:color w:val="000000"/>
                <w:sz w:val="19"/>
                <w:szCs w:val="19"/>
              </w:rPr>
              <w:t>esto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marcha</w:t>
            </w:r>
            <w:proofErr w:type="spellEnd"/>
            <w:r>
              <w:rPr>
                <w:color w:val="000000"/>
                <w:sz w:val="19"/>
                <w:szCs w:val="19"/>
              </w:rPr>
              <w:t>!</w:t>
            </w:r>
          </w:p>
        </w:tc>
      </w:tr>
      <w:tr w:rsidR="00635A50" w14:paraId="36F820E4" w14:textId="77777777" w:rsidTr="00A86FA8">
        <w:tc>
          <w:tcPr>
            <w:tcW w:w="3200" w:type="dxa"/>
          </w:tcPr>
          <w:p w14:paraId="384D5E11" w14:textId="77777777" w:rsidR="00635A50" w:rsidRDefault="00000000">
            <w:r>
              <w:rPr>
                <w:color w:val="000000"/>
                <w:sz w:val="19"/>
                <w:szCs w:val="19"/>
              </w:rPr>
              <w:t>"The first was from Pondicherry, the second from Dundee, and the third from London."</w:t>
            </w:r>
          </w:p>
        </w:tc>
        <w:tc>
          <w:tcPr>
            <w:tcW w:w="3200" w:type="dxa"/>
          </w:tcPr>
          <w:p w14:paraId="0B1E8B6B" w14:textId="77777777" w:rsidR="00635A50" w:rsidRDefault="00000000">
            <w:r>
              <w:rPr>
                <w:color w:val="000000"/>
                <w:sz w:val="19"/>
                <w:szCs w:val="19"/>
              </w:rPr>
              <w:t xml:space="preserve">El primero era de Pondicherry, el </w:t>
            </w:r>
            <w:proofErr w:type="spellStart"/>
            <w:r>
              <w:rPr>
                <w:color w:val="000000"/>
                <w:sz w:val="19"/>
                <w:szCs w:val="19"/>
              </w:rPr>
              <w:t>segundo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Dundee, y el </w:t>
            </w:r>
            <w:proofErr w:type="spellStart"/>
            <w:r>
              <w:rPr>
                <w:color w:val="000000"/>
                <w:sz w:val="19"/>
                <w:szCs w:val="19"/>
              </w:rPr>
              <w:t>tercero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Londres.</w:t>
            </w:r>
          </w:p>
        </w:tc>
        <w:tc>
          <w:tcPr>
            <w:tcW w:w="3200" w:type="dxa"/>
          </w:tcPr>
          <w:p w14:paraId="2DD74829" w14:textId="77777777" w:rsidR="00635A50" w:rsidRDefault="00000000">
            <w:r>
              <w:rPr>
                <w:color w:val="000000"/>
                <w:sz w:val="19"/>
                <w:szCs w:val="19"/>
              </w:rPr>
              <w:t xml:space="preserve">––El primero era de Pondicherry, el </w:t>
            </w:r>
            <w:proofErr w:type="spellStart"/>
            <w:r>
              <w:rPr>
                <w:color w:val="000000"/>
                <w:sz w:val="19"/>
                <w:szCs w:val="19"/>
              </w:rPr>
              <w:t>segundo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Dundee, y el </w:t>
            </w:r>
            <w:proofErr w:type="spellStart"/>
            <w:r>
              <w:rPr>
                <w:color w:val="000000"/>
                <w:sz w:val="19"/>
                <w:szCs w:val="19"/>
              </w:rPr>
              <w:t>tercero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Londres.</w:t>
            </w:r>
          </w:p>
        </w:tc>
      </w:tr>
    </w:tbl>
    <w:p w14:paraId="6812960E" w14:textId="77777777" w:rsidR="00635A50" w:rsidRDefault="00635A50">
      <w:pPr>
        <w:spacing w:before="160"/>
      </w:pPr>
    </w:p>
    <w:p w14:paraId="2C137F03" w14:textId="77777777" w:rsidR="00635A50" w:rsidRDefault="00000000">
      <w:pPr>
        <w:spacing w:after="120" w:line="276" w:lineRule="auto"/>
      </w:pPr>
      <w:r>
        <w:t>On the third example, the fine-tuned model reproduced the reference translation almost exactly, while the dictionary and from-scratch models (see Section 5) produced outputs that were not usable translations at all.</w:t>
      </w:r>
    </w:p>
    <w:p w14:paraId="02FC6D76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5. Discussion</w:t>
      </w:r>
    </w:p>
    <w:p w14:paraId="28FFF367" w14:textId="77777777" w:rsidR="00635A50" w:rsidRDefault="00000000">
      <w:pPr>
        <w:spacing w:after="120" w:line="276" w:lineRule="auto"/>
      </w:pPr>
      <w:r>
        <w:t xml:space="preserve">The four results split into two clear tiers. </w:t>
      </w:r>
      <w:proofErr w:type="spellStart"/>
      <w:r>
        <w:t>MarianMT</w:t>
      </w:r>
      <w:proofErr w:type="spellEnd"/>
      <w:r>
        <w:t xml:space="preserve"> — before and after fine-tuning — scored around 19 </w:t>
      </w:r>
      <w:proofErr w:type="gramStart"/>
      <w:r>
        <w:t>BLEU</w:t>
      </w:r>
      <w:proofErr w:type="gramEnd"/>
      <w:r>
        <w:t>, a respectable score for literary translation. The dictionary baseline (0.24 BLEU) and the from-scratch Seq2Seq model (0.05 BLEU) scored close to zero, and their sample outputs confirm why: the dictionary approach translates word-by-word with no grammar or reordering, producing fluent-looking but meaningless strings, while the from-scratch Seq2Seq model — trained from random initialisation on only 1,350 sentence pairs for 8 epochs — never learned to generate coherent Spanish, and instead degenerated into repeating the &lt;</w:t>
      </w:r>
      <w:proofErr w:type="spellStart"/>
      <w:r>
        <w:t>eos</w:t>
      </w:r>
      <w:proofErr w:type="spellEnd"/>
      <w:r>
        <w:t>&gt; token or producing memorised training fragments unrelated to the input.</w:t>
      </w:r>
    </w:p>
    <w:p w14:paraId="7E297E59" w14:textId="77777777" w:rsidR="00635A50" w:rsidRDefault="00000000">
      <w:pPr>
        <w:spacing w:after="120" w:line="276" w:lineRule="auto"/>
      </w:pPr>
      <w:r>
        <w:t xml:space="preserve">This gap is expected and mainly reflects data and compute scale rather than a flaw in the approaches themselves. </w:t>
      </w:r>
      <w:proofErr w:type="spellStart"/>
      <w:r>
        <w:t>MarianMT</w:t>
      </w:r>
      <w:proofErr w:type="spellEnd"/>
      <w:r>
        <w:t xml:space="preserve"> enters this task already pretrained on millions of English–Spanish sentence pairs, so even without any fine-tuning it substantially outperforms two models that only ever saw 1,350 examples. Fine-tuning on top of that pretraining nudged BLEU from 19.16 to 19.70 — a real but modest gain, consistent with only 1 epoch over a small training set on CPU.</w:t>
      </w:r>
    </w:p>
    <w:p w14:paraId="18E11B90" w14:textId="77777777" w:rsidR="00635A50" w:rsidRDefault="00000000">
      <w:pPr>
        <w:spacing w:after="120" w:line="276" w:lineRule="auto"/>
      </w:pPr>
      <w:r>
        <w:t>The from-scratch Seq2Seq model, in particular, would need either far more training data, many more epochs, or both, before it could be expected to produce coherent translations — a GRU encoder–decoder with no attention mechanism and no pretraining is a genuinely hard model to train well from 1,350 sentences alone.</w:t>
      </w:r>
    </w:p>
    <w:p w14:paraId="0EEB2747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6. Note on Run Scale</w:t>
      </w:r>
    </w:p>
    <w:p w14:paraId="6E4E789A" w14:textId="77777777" w:rsidR="00635A50" w:rsidRDefault="00000000">
      <w:pPr>
        <w:spacing w:after="120" w:line="276" w:lineRule="auto"/>
      </w:pPr>
      <w:r>
        <w:rPr>
          <w:i/>
          <w:iCs/>
          <w:color w:val="595959"/>
        </w:rPr>
        <w:t xml:space="preserve">This run was executed on CPU rather than GPU, which limited the training data to 1,500 sentence pairs and </w:t>
      </w:r>
      <w:proofErr w:type="spellStart"/>
      <w:r>
        <w:rPr>
          <w:i/>
          <w:iCs/>
          <w:color w:val="595959"/>
        </w:rPr>
        <w:t>MarianMT</w:t>
      </w:r>
      <w:proofErr w:type="spellEnd"/>
      <w:r>
        <w:rPr>
          <w:i/>
          <w:iCs/>
          <w:color w:val="595959"/>
        </w:rPr>
        <w:t xml:space="preserve"> fine-tuning to a single epoch, in order to keep runtime practical. On a GPU runtime, the same pipeline could use the full 64,269-pair filtered corpus and train for more epochs, which would likely narrow the gap for the from-scratch Seq2Seq model and push the fine-tuned </w:t>
      </w:r>
      <w:proofErr w:type="spellStart"/>
      <w:r>
        <w:rPr>
          <w:i/>
          <w:iCs/>
          <w:color w:val="595959"/>
        </w:rPr>
        <w:t>MarianMT</w:t>
      </w:r>
      <w:proofErr w:type="spellEnd"/>
      <w:r>
        <w:rPr>
          <w:i/>
          <w:iCs/>
          <w:color w:val="595959"/>
        </w:rPr>
        <w:t xml:space="preserve"> BLEU score higher than the modest gain seen here. Re-running with GPU-scale settings is the natural next step before this deliverable is finalised.</w:t>
      </w:r>
    </w:p>
    <w:p w14:paraId="5375936C" w14:textId="77777777" w:rsidR="00635A50" w:rsidRPr="00A86FA8" w:rsidRDefault="00000000">
      <w:pPr>
        <w:pStyle w:val="Heading1"/>
        <w:spacing w:before="280" w:after="120"/>
        <w:rPr>
          <w:color w:val="000000" w:themeColor="text1"/>
        </w:rPr>
      </w:pPr>
      <w:r w:rsidRPr="00A86FA8">
        <w:rPr>
          <w:b/>
          <w:bCs/>
          <w:color w:val="000000" w:themeColor="text1"/>
          <w:sz w:val="26"/>
          <w:szCs w:val="26"/>
        </w:rPr>
        <w:t>7. Conclusion</w:t>
      </w:r>
    </w:p>
    <w:p w14:paraId="60A56A3A" w14:textId="77777777" w:rsidR="00635A50" w:rsidRDefault="00000000">
      <w:pPr>
        <w:spacing w:after="120" w:line="276" w:lineRule="auto"/>
      </w:pPr>
      <w:r>
        <w:t xml:space="preserve">On the OPUS Books English–Spanish corpus, the fine-tuned </w:t>
      </w:r>
      <w:proofErr w:type="spellStart"/>
      <w:r>
        <w:t>MarianMT</w:t>
      </w:r>
      <w:proofErr w:type="spellEnd"/>
      <w:r>
        <w:t xml:space="preserve"> model was the clear best performer at 19.70 BLEU, only slightly ahead of its own pretrained baseline (19.16 BLEU), while the dictionary baseline and from-scratch Seq2Seq model both scored near zero. The results highlight the practical value of starting from a pretrained model for machine translation: with a small amount of fine-tuning data and compute, </w:t>
      </w:r>
      <w:proofErr w:type="spellStart"/>
      <w:r>
        <w:t>MarianMT</w:t>
      </w:r>
      <w:proofErr w:type="spellEnd"/>
      <w:r>
        <w:t xml:space="preserve"> already produces largely fluent, accurate translations, whereas both a purely rule-based approach and a randomly-initialised neural model struggle badly without substantially more data or training time.</w:t>
      </w:r>
    </w:p>
    <w:sectPr w:rsidR="00635A5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D7B6F"/>
    <w:multiLevelType w:val="hybridMultilevel"/>
    <w:tmpl w:val="6A1ACBB2"/>
    <w:lvl w:ilvl="0" w:tplc="268ABF66">
      <w:start w:val="1"/>
      <w:numFmt w:val="bullet"/>
      <w:lvlText w:val="●"/>
      <w:lvlJc w:val="left"/>
      <w:pPr>
        <w:ind w:left="720" w:hanging="360"/>
      </w:pPr>
    </w:lvl>
    <w:lvl w:ilvl="1" w:tplc="60D43808">
      <w:start w:val="1"/>
      <w:numFmt w:val="bullet"/>
      <w:lvlText w:val="○"/>
      <w:lvlJc w:val="left"/>
      <w:pPr>
        <w:ind w:left="1440" w:hanging="360"/>
      </w:pPr>
    </w:lvl>
    <w:lvl w:ilvl="2" w:tplc="EFC4F248">
      <w:start w:val="1"/>
      <w:numFmt w:val="bullet"/>
      <w:lvlText w:val="■"/>
      <w:lvlJc w:val="left"/>
      <w:pPr>
        <w:ind w:left="2160" w:hanging="360"/>
      </w:pPr>
    </w:lvl>
    <w:lvl w:ilvl="3" w:tplc="6152DA26">
      <w:start w:val="1"/>
      <w:numFmt w:val="bullet"/>
      <w:lvlText w:val="●"/>
      <w:lvlJc w:val="left"/>
      <w:pPr>
        <w:ind w:left="2880" w:hanging="360"/>
      </w:pPr>
    </w:lvl>
    <w:lvl w:ilvl="4" w:tplc="8FC2A3D8">
      <w:start w:val="1"/>
      <w:numFmt w:val="bullet"/>
      <w:lvlText w:val="○"/>
      <w:lvlJc w:val="left"/>
      <w:pPr>
        <w:ind w:left="3600" w:hanging="360"/>
      </w:pPr>
    </w:lvl>
    <w:lvl w:ilvl="5" w:tplc="3EDE44B2">
      <w:start w:val="1"/>
      <w:numFmt w:val="bullet"/>
      <w:lvlText w:val="■"/>
      <w:lvlJc w:val="left"/>
      <w:pPr>
        <w:ind w:left="4320" w:hanging="360"/>
      </w:pPr>
    </w:lvl>
    <w:lvl w:ilvl="6" w:tplc="BADAEBB6">
      <w:start w:val="1"/>
      <w:numFmt w:val="bullet"/>
      <w:lvlText w:val="●"/>
      <w:lvlJc w:val="left"/>
      <w:pPr>
        <w:ind w:left="5040" w:hanging="360"/>
      </w:pPr>
    </w:lvl>
    <w:lvl w:ilvl="7" w:tplc="6D7CB536">
      <w:start w:val="1"/>
      <w:numFmt w:val="bullet"/>
      <w:lvlText w:val="●"/>
      <w:lvlJc w:val="left"/>
      <w:pPr>
        <w:ind w:left="5760" w:hanging="360"/>
      </w:pPr>
    </w:lvl>
    <w:lvl w:ilvl="8" w:tplc="4E6E6820">
      <w:start w:val="1"/>
      <w:numFmt w:val="bullet"/>
      <w:lvlText w:val="●"/>
      <w:lvlJc w:val="left"/>
      <w:pPr>
        <w:ind w:left="6480" w:hanging="360"/>
      </w:pPr>
    </w:lvl>
  </w:abstractNum>
  <w:num w:numId="1" w16cid:durableId="1396464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A50"/>
    <w:rsid w:val="001B6108"/>
    <w:rsid w:val="00635A50"/>
    <w:rsid w:val="00A8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AD46D"/>
  <w15:docId w15:val="{8A55F13A-17A1-4FA3-9226-01524893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G" w:eastAsia="en-U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86F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852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</cp:lastModifiedBy>
  <cp:revision>2</cp:revision>
  <dcterms:created xsi:type="dcterms:W3CDTF">2026-07-23T11:46:00Z</dcterms:created>
  <dcterms:modified xsi:type="dcterms:W3CDTF">2026-07-23T11:46:00Z</dcterms:modified>
</cp:coreProperties>
</file>