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A9C6" w14:textId="401FC678" w:rsidR="00B16CE7" w:rsidRPr="00BD349B" w:rsidRDefault="00000000">
      <w:pPr>
        <w:spacing w:after="8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sz w:val="36"/>
          <w:szCs w:val="36"/>
          <w:lang w:val="es-ES"/>
        </w:rPr>
        <w:t xml:space="preserve">Anexo de capturas </w:t>
      </w:r>
      <w:r w:rsidR="00BD349B">
        <w:rPr>
          <w:rFonts w:asciiTheme="majorHAnsi" w:hAnsiTheme="majorHAnsi"/>
          <w:b/>
          <w:bCs/>
          <w:sz w:val="36"/>
          <w:szCs w:val="36"/>
          <w:lang w:val="es-ES"/>
        </w:rPr>
        <w:t>-</w:t>
      </w:r>
      <w:r w:rsidRPr="00BD349B">
        <w:rPr>
          <w:rFonts w:asciiTheme="majorHAnsi" w:hAnsiTheme="majorHAnsi"/>
          <w:b/>
          <w:bCs/>
          <w:sz w:val="36"/>
          <w:szCs w:val="36"/>
          <w:lang w:val="es-ES"/>
        </w:rPr>
        <w:t xml:space="preserve"> Comparativo </w:t>
      </w:r>
      <w:proofErr w:type="spellStart"/>
      <w:r w:rsidRPr="00BD349B">
        <w:rPr>
          <w:rFonts w:asciiTheme="majorHAnsi" w:hAnsiTheme="majorHAnsi"/>
          <w:b/>
          <w:bCs/>
          <w:sz w:val="36"/>
          <w:szCs w:val="36"/>
          <w:lang w:val="es-ES"/>
        </w:rPr>
        <w:t>Refinitiv</w:t>
      </w:r>
      <w:proofErr w:type="spellEnd"/>
      <w:r w:rsidRPr="00BD349B">
        <w:rPr>
          <w:rFonts w:asciiTheme="majorHAnsi" w:hAnsiTheme="majorHAnsi"/>
          <w:b/>
          <w:bCs/>
          <w:sz w:val="36"/>
          <w:szCs w:val="36"/>
          <w:lang w:val="es-ES"/>
        </w:rPr>
        <w:t xml:space="preserve"> vs Bloomberg</w:t>
      </w:r>
    </w:p>
    <w:p w14:paraId="086F613B" w14:textId="77777777" w:rsid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 xml:space="preserve">Este anexo reúne las capturas que respaldan el documento </w:t>
      </w:r>
      <w:r w:rsidR="00BD349B">
        <w:rPr>
          <w:rFonts w:asciiTheme="majorHAnsi" w:hAnsiTheme="majorHAnsi"/>
          <w:lang w:val="es-ES"/>
        </w:rPr>
        <w:t>con el c</w:t>
      </w:r>
      <w:r w:rsidRPr="00BD349B">
        <w:rPr>
          <w:rFonts w:asciiTheme="majorHAnsi" w:hAnsiTheme="majorHAnsi"/>
          <w:lang w:val="es-ES"/>
        </w:rPr>
        <w:t xml:space="preserve">omparativo </w:t>
      </w:r>
      <w:r w:rsidR="00BD349B">
        <w:rPr>
          <w:rFonts w:asciiTheme="majorHAnsi" w:hAnsiTheme="majorHAnsi"/>
          <w:lang w:val="es-ES"/>
        </w:rPr>
        <w:t>resumido.</w:t>
      </w:r>
    </w:p>
    <w:p w14:paraId="0719BFE5" w14:textId="5CE28F13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 xml:space="preserve">La parte A tiene las pantallas de Bloomberg (14-oct-2026) y la parte B las de </w:t>
      </w:r>
      <w:proofErr w:type="spellStart"/>
      <w:r w:rsidRPr="00BD349B">
        <w:rPr>
          <w:rFonts w:asciiTheme="majorHAnsi" w:hAnsiTheme="majorHAnsi"/>
          <w:lang w:val="es-ES"/>
        </w:rPr>
        <w:t>Refinitiv</w:t>
      </w:r>
      <w:proofErr w:type="spellEnd"/>
      <w:r w:rsidRPr="00BD349B">
        <w:rPr>
          <w:rFonts w:asciiTheme="majorHAnsi" w:hAnsiTheme="majorHAnsi"/>
          <w:lang w:val="es-ES"/>
        </w:rPr>
        <w:t xml:space="preserve"> (cierre del 9-oct-2026</w:t>
      </w:r>
      <w:r w:rsidR="00BD349B">
        <w:rPr>
          <w:rFonts w:asciiTheme="majorHAnsi" w:hAnsiTheme="majorHAnsi"/>
          <w:lang w:val="es-ES"/>
        </w:rPr>
        <w:t>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600"/>
        <w:gridCol w:w="3780"/>
      </w:tblGrid>
      <w:tr w:rsidR="00B16CE7" w:rsidRPr="00BD349B" w14:paraId="1EA74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B2132" w14:textId="77777777" w:rsidR="00B16CE7" w:rsidRPr="00BD349B" w:rsidRDefault="00000000">
            <w:pPr>
              <w:rPr>
                <w:rFonts w:asciiTheme="majorHAnsi" w:hAnsiTheme="majorHAnsi"/>
              </w:rPr>
            </w:pPr>
            <w:proofErr w:type="spellStart"/>
            <w:r w:rsidRPr="00BD349B">
              <w:rPr>
                <w:rFonts w:asciiTheme="majorHAnsi" w:hAnsiTheme="majorHAnsi"/>
                <w:b/>
                <w:bCs/>
                <w:sz w:val="17"/>
                <w:szCs w:val="17"/>
              </w:rPr>
              <w:t>Pantalla</w:t>
            </w:r>
            <w:proofErr w:type="spellEnd"/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520DB" w14:textId="77777777" w:rsidR="00B16CE7" w:rsidRPr="00BD349B" w:rsidRDefault="00000000">
            <w:pPr>
              <w:rPr>
                <w:rFonts w:asciiTheme="majorHAnsi" w:hAnsiTheme="majorHAnsi"/>
              </w:rPr>
            </w:pPr>
            <w:proofErr w:type="spellStart"/>
            <w:r w:rsidRPr="00BD349B">
              <w:rPr>
                <w:rFonts w:asciiTheme="majorHAnsi" w:hAnsiTheme="majorHAnsi"/>
                <w:b/>
                <w:bCs/>
                <w:sz w:val="17"/>
                <w:szCs w:val="17"/>
              </w:rPr>
              <w:t>Qué</w:t>
            </w:r>
            <w:proofErr w:type="spellEnd"/>
            <w:r w:rsidRPr="00BD349B">
              <w:rPr>
                <w:rFonts w:asciiTheme="majorHAnsi" w:hAnsiTheme="majorHAnsi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BD349B">
              <w:rPr>
                <w:rFonts w:asciiTheme="majorHAnsi" w:hAnsiTheme="majorHAnsi"/>
                <w:b/>
                <w:bCs/>
                <w:sz w:val="17"/>
                <w:szCs w:val="17"/>
              </w:rPr>
              <w:t>muestra</w:t>
            </w:r>
            <w:proofErr w:type="spellEnd"/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B5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A4A0B" w14:textId="77777777" w:rsidR="00B16CE7" w:rsidRPr="00BD349B" w:rsidRDefault="00000000">
            <w:pPr>
              <w:rPr>
                <w:rFonts w:asciiTheme="majorHAnsi" w:hAnsiTheme="majorHAnsi"/>
                <w:lang w:val="es-ES"/>
              </w:rPr>
            </w:pPr>
            <w:r w:rsidRPr="00BD349B">
              <w:rPr>
                <w:rFonts w:asciiTheme="majorHAnsi" w:hAnsiTheme="majorHAnsi"/>
                <w:b/>
                <w:bCs/>
                <w:sz w:val="17"/>
                <w:szCs w:val="17"/>
                <w:lang w:val="es-ES"/>
              </w:rPr>
              <w:t>Dónde se usa en el comparativo</w:t>
            </w:r>
          </w:p>
        </w:tc>
      </w:tr>
      <w:tr w:rsidR="00B16CE7" w:rsidRPr="00BD349B" w14:paraId="07BCDC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0BABE" w14:textId="77777777" w:rsidR="00B16CE7" w:rsidRPr="00BD349B" w:rsidRDefault="00000000">
            <w:pPr>
              <w:rPr>
                <w:rFonts w:asciiTheme="majorHAnsi" w:hAnsiTheme="majorHAnsi"/>
              </w:rPr>
            </w:pPr>
            <w:r w:rsidRPr="00BD349B">
              <w:rPr>
                <w:rFonts w:asciiTheme="majorHAnsi" w:hAnsiTheme="majorHAnsi"/>
                <w:sz w:val="17"/>
                <w:szCs w:val="17"/>
              </w:rPr>
              <w:t>OVME Pricing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8CF35" w14:textId="77777777" w:rsidR="00B16CE7" w:rsidRPr="00BD349B" w:rsidRDefault="00000000">
            <w:pPr>
              <w:rPr>
                <w:rFonts w:asciiTheme="majorHAnsi" w:hAnsiTheme="majorHAnsi"/>
                <w:lang w:val="es-ES"/>
              </w:rPr>
            </w:pPr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 xml:space="preserve">Prima neta, Delta (%), Gamma (%), Vega y Theta por acción y por pata. La volatilidad sale del lado 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bid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 xml:space="preserve"> (patas vendidas) o 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ask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 xml:space="preserve"> (compradas).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20956" w14:textId="77777777" w:rsidR="00B16CE7" w:rsidRPr="00BD349B" w:rsidRDefault="00000000">
            <w:pPr>
              <w:rPr>
                <w:rFonts w:asciiTheme="majorHAnsi" w:hAnsiTheme="majorHAnsi"/>
                <w:lang w:val="es-ES"/>
              </w:rPr>
            </w:pPr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Columnas "BBG" y "Costo BBG" de la tabla "</w:t>
            </w:r>
            <w:proofErr w:type="gramStart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Griegas</w:t>
            </w:r>
            <w:proofErr w:type="gramEnd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 xml:space="preserve"> por estrategia"; tabla "Volatilidad implícita"</w:t>
            </w:r>
          </w:p>
        </w:tc>
      </w:tr>
      <w:tr w:rsidR="00B16CE7" w:rsidRPr="00BD349B" w14:paraId="719EC4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6D150" w14:textId="77777777" w:rsidR="00B16CE7" w:rsidRPr="00BD349B" w:rsidRDefault="00000000">
            <w:pPr>
              <w:rPr>
                <w:rFonts w:asciiTheme="majorHAnsi" w:hAnsiTheme="majorHAnsi"/>
              </w:rPr>
            </w:pPr>
            <w:r w:rsidRPr="00BD349B">
              <w:rPr>
                <w:rFonts w:asciiTheme="majorHAnsi" w:hAnsiTheme="majorHAnsi"/>
                <w:sz w:val="17"/>
                <w:szCs w:val="17"/>
              </w:rPr>
              <w:t>OVME Scenario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8F07C" w14:textId="77777777" w:rsidR="00B16CE7" w:rsidRPr="00BD349B" w:rsidRDefault="00000000">
            <w:pPr>
              <w:rPr>
                <w:rFonts w:asciiTheme="majorHAnsi" w:hAnsiTheme="majorHAnsi"/>
                <w:lang w:val="es-ES"/>
              </w:rPr>
            </w:pPr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P&amp;L de la estrategia hoy, a una fecha intermedia y al vencimiento, junto con la densidad de probabilidad del subyacente.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E99CA" w14:textId="77777777" w:rsidR="00B16CE7" w:rsidRPr="00BD349B" w:rsidRDefault="00000000">
            <w:pPr>
              <w:rPr>
                <w:rFonts w:asciiTheme="majorHAnsi" w:hAnsiTheme="majorHAnsi"/>
                <w:lang w:val="es-ES"/>
              </w:rPr>
            </w:pPr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Break-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even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 xml:space="preserve"> y pérdida máxima de "Órdenes para los simuladores"</w:t>
            </w:r>
          </w:p>
        </w:tc>
      </w:tr>
      <w:tr w:rsidR="00B16CE7" w:rsidRPr="00BD349B" w14:paraId="7405E5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5C3B0" w14:textId="77777777" w:rsidR="00B16CE7" w:rsidRPr="00BD349B" w:rsidRDefault="00000000">
            <w:pPr>
              <w:rPr>
                <w:rFonts w:asciiTheme="majorHAnsi" w:hAnsiTheme="majorHAnsi"/>
              </w:rPr>
            </w:pPr>
            <w:r w:rsidRPr="00BD349B">
              <w:rPr>
                <w:rFonts w:asciiTheme="majorHAnsi" w:hAnsiTheme="majorHAnsi"/>
                <w:sz w:val="17"/>
                <w:szCs w:val="17"/>
              </w:rPr>
              <w:t>OVME Matrix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12010" w14:textId="77777777" w:rsidR="00B16CE7" w:rsidRPr="00BD349B" w:rsidRDefault="00000000">
            <w:pPr>
              <w:rPr>
                <w:rFonts w:asciiTheme="majorHAnsi" w:hAnsiTheme="majorHAnsi"/>
                <w:lang w:val="es-ES"/>
              </w:rPr>
            </w:pPr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 xml:space="preserve">Cómo cambian las griegas por plazo y 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moneyness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, o por precio del subyacente y cambios de volatilidad.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7D9A7" w14:textId="77777777" w:rsidR="00B16CE7" w:rsidRPr="00BD349B" w:rsidRDefault="00000000">
            <w:pPr>
              <w:rPr>
                <w:rFonts w:asciiTheme="majorHAnsi" w:hAnsiTheme="majorHAnsi"/>
              </w:rPr>
            </w:pPr>
            <w:proofErr w:type="spellStart"/>
            <w:r w:rsidRPr="00BD349B">
              <w:rPr>
                <w:rFonts w:asciiTheme="majorHAnsi" w:hAnsiTheme="majorHAnsi"/>
                <w:sz w:val="17"/>
                <w:szCs w:val="17"/>
              </w:rPr>
              <w:t>Sección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</w:rPr>
              <w:t xml:space="preserve"> "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</w:rPr>
              <w:t>Hallazgos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</w:rPr>
              <w:t xml:space="preserve"> 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</w:rPr>
              <w:t>por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</w:rPr>
              <w:t xml:space="preserve"> 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</w:rPr>
              <w:t>griega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</w:rPr>
              <w:t>"</w:t>
            </w:r>
          </w:p>
        </w:tc>
      </w:tr>
      <w:tr w:rsidR="00B16CE7" w:rsidRPr="00BD349B" w14:paraId="6120C8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95AE5" w14:textId="77777777" w:rsidR="00B16CE7" w:rsidRPr="00BD349B" w:rsidRDefault="00000000">
            <w:pPr>
              <w:rPr>
                <w:rFonts w:asciiTheme="majorHAnsi" w:hAnsiTheme="majorHAnsi"/>
              </w:rPr>
            </w:pPr>
            <w:r w:rsidRPr="00BD349B">
              <w:rPr>
                <w:rFonts w:asciiTheme="majorHAnsi" w:hAnsiTheme="majorHAnsi"/>
                <w:sz w:val="17"/>
                <w:szCs w:val="17"/>
              </w:rPr>
              <w:t>OVDV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0C176" w14:textId="77777777" w:rsidR="00B16CE7" w:rsidRPr="00BD349B" w:rsidRDefault="00000000">
            <w:pPr>
              <w:rPr>
                <w:rFonts w:asciiTheme="majorHAnsi" w:hAnsiTheme="majorHAnsi"/>
                <w:lang w:val="es-ES"/>
              </w:rPr>
            </w:pPr>
            <w:r w:rsidRPr="00BD349B">
              <w:rPr>
                <w:rFonts w:asciiTheme="majorHAnsi" w:hAnsiTheme="majorHAnsi"/>
                <w:sz w:val="17"/>
                <w:szCs w:val="17"/>
                <w:lang w:val="es-ES"/>
              </w:rPr>
              <w:t>Superficie de volatilidad: estructura temporal ATM y sonrisa a 3 meses.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A7D2B" w14:textId="77777777" w:rsidR="00B16CE7" w:rsidRPr="00BD349B" w:rsidRDefault="00000000">
            <w:pPr>
              <w:rPr>
                <w:rFonts w:asciiTheme="majorHAnsi" w:hAnsiTheme="majorHAnsi"/>
              </w:rPr>
            </w:pPr>
            <w:proofErr w:type="spellStart"/>
            <w:r w:rsidRPr="00BD349B">
              <w:rPr>
                <w:rFonts w:asciiTheme="majorHAnsi" w:hAnsiTheme="majorHAnsi"/>
                <w:sz w:val="17"/>
                <w:szCs w:val="17"/>
              </w:rPr>
              <w:t>Sección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</w:rPr>
              <w:t xml:space="preserve"> "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</w:rPr>
              <w:t>Volatilidad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</w:rPr>
              <w:t xml:space="preserve"> </w:t>
            </w:r>
            <w:proofErr w:type="spellStart"/>
            <w:r w:rsidRPr="00BD349B">
              <w:rPr>
                <w:rFonts w:asciiTheme="majorHAnsi" w:hAnsiTheme="majorHAnsi"/>
                <w:sz w:val="17"/>
                <w:szCs w:val="17"/>
              </w:rPr>
              <w:t>implícita</w:t>
            </w:r>
            <w:proofErr w:type="spellEnd"/>
            <w:r w:rsidRPr="00BD349B">
              <w:rPr>
                <w:rFonts w:asciiTheme="majorHAnsi" w:hAnsiTheme="majorHAnsi"/>
                <w:sz w:val="17"/>
                <w:szCs w:val="17"/>
              </w:rPr>
              <w:t>"</w:t>
            </w:r>
          </w:p>
        </w:tc>
      </w:tr>
    </w:tbl>
    <w:p w14:paraId="7B5A47D6" w14:textId="77777777" w:rsidR="00B16CE7" w:rsidRPr="00BD349B" w:rsidRDefault="00000000">
      <w:pPr>
        <w:pStyle w:val="Heading1"/>
        <w:rPr>
          <w:rFonts w:asciiTheme="majorHAnsi" w:hAnsiTheme="majorHAnsi"/>
          <w:color w:val="auto"/>
        </w:rPr>
      </w:pPr>
      <w:proofErr w:type="spellStart"/>
      <w:proofErr w:type="gramStart"/>
      <w:r w:rsidRPr="00BD349B">
        <w:rPr>
          <w:rFonts w:asciiTheme="majorHAnsi" w:hAnsiTheme="majorHAnsi"/>
          <w:color w:val="auto"/>
        </w:rPr>
        <w:t>Parte</w:t>
      </w:r>
      <w:proofErr w:type="spellEnd"/>
      <w:proofErr w:type="gramEnd"/>
      <w:r w:rsidRPr="00BD349B">
        <w:rPr>
          <w:rFonts w:asciiTheme="majorHAnsi" w:hAnsiTheme="majorHAnsi"/>
          <w:color w:val="auto"/>
        </w:rPr>
        <w:t xml:space="preserve"> A. Bloomberg OVME y OVDV (14-oct-2026)</w:t>
      </w:r>
    </w:p>
    <w:p w14:paraId="5182E530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</w:rPr>
      </w:pPr>
      <w:r w:rsidRPr="00BD349B">
        <w:rPr>
          <w:rFonts w:asciiTheme="majorHAnsi" w:hAnsiTheme="majorHAnsi"/>
          <w:color w:val="auto"/>
        </w:rPr>
        <w:t>AAPL</w:t>
      </w:r>
    </w:p>
    <w:p w14:paraId="259F3370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t>A4 AAPL Bull Call 320/335</w:t>
      </w:r>
    </w:p>
    <w:p w14:paraId="678510B9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 xml:space="preserve">Visión alcista moderada en AAPL con costo acotado: compramos el </w:t>
      </w:r>
      <w:proofErr w:type="spellStart"/>
      <w:r w:rsidRPr="00BD349B">
        <w:rPr>
          <w:rFonts w:asciiTheme="majorHAnsi" w:hAnsiTheme="majorHAnsi"/>
          <w:lang w:val="es-ES"/>
        </w:rPr>
        <w:t>call</w:t>
      </w:r>
      <w:proofErr w:type="spellEnd"/>
      <w:r w:rsidRPr="00BD349B">
        <w:rPr>
          <w:rFonts w:asciiTheme="majorHAnsi" w:hAnsiTheme="majorHAnsi"/>
          <w:lang w:val="es-ES"/>
        </w:rPr>
        <w:t xml:space="preserve"> 320 y vendemos el 335.</w:t>
      </w:r>
    </w:p>
    <w:p w14:paraId="76DF7C85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15.97 (BBG) contra 18.22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−1.40 / −0.95; vega −0.10 / −0.08; theta 0.03 / 0.01; costo 11.28 D / 10.40 D.</w:t>
      </w:r>
    </w:p>
    <w:p w14:paraId="76B8E90F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Con AAPL en 342.96 los dos strikes quedan dentro del dinero, por eso en </w:t>
      </w:r>
      <w:proofErr w:type="spellStart"/>
      <w:r w:rsidRPr="00BD349B">
        <w:rPr>
          <w:rFonts w:asciiTheme="majorHAnsi" w:hAnsiTheme="majorHAnsi"/>
          <w:lang w:val="es-ES"/>
        </w:rPr>
        <w:t>Scenario</w:t>
      </w:r>
      <w:proofErr w:type="spellEnd"/>
      <w:r w:rsidRPr="00BD349B">
        <w:rPr>
          <w:rFonts w:asciiTheme="majorHAnsi" w:hAnsiTheme="majorHAnsi"/>
          <w:lang w:val="es-ES"/>
        </w:rPr>
        <w:t xml:space="preserve"> la estrategia ya está en su zona de ganancia máxima y en Pricing la gamma es negativa.</w:t>
      </w:r>
    </w:p>
    <w:p w14:paraId="2ED1D04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44E3AD0F" wp14:editId="6D72E540">
            <wp:extent cx="4937760" cy="2540011"/>
            <wp:effectExtent l="0" t="0" r="0" b="0"/>
            <wp:docPr id="1" name="A4-1. OVME Pricing: prima y griegas por pata" descr="A4-1. OVME Pricing: prima y griegas por pata" title="A4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5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CF9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A4-1. OVME Pricing: prima y griegas por pata</w:t>
      </w:r>
    </w:p>
    <w:p w14:paraId="3F3BBC9B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6BD1A90E" wp14:editId="654F7200">
            <wp:extent cx="5943600" cy="2810323"/>
            <wp:effectExtent l="0" t="0" r="0" b="0"/>
            <wp:docPr id="353789457" name="A4-2. OVME Scenario: P&amp;L a distintas fechas" descr="A4-2. OVME Scenario: P&amp;L a distintas fechas" title="A4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5D99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A4-2.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5576A7D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3D543D7" wp14:editId="179860C8">
            <wp:extent cx="5943600" cy="2777005"/>
            <wp:effectExtent l="0" t="0" r="0" b="0"/>
            <wp:docPr id="1360048484" name="A4-3. OVME Matrix: griegas por plazo / precio" descr="A4-3. OVME Matrix: griegas por plazo / precio" title="A4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086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A4-3. OVME Matrix: griegas por plazo / precio</w:t>
      </w:r>
    </w:p>
    <w:p w14:paraId="29372573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4BC58BAF" wp14:editId="748C86CC">
            <wp:extent cx="5943600" cy="2746781"/>
            <wp:effectExtent l="0" t="0" r="0" b="0"/>
            <wp:docPr id="1704192536" name="A4-4. OVDV: superficie de volatilidad implícita" descr="A4-4. OVDV: superficie de volatilidad implícita" title="A4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7D2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A4-4. OVDV: superficie de volatilidad implícita</w:t>
      </w:r>
    </w:p>
    <w:p w14:paraId="1862FD5E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289EC6B5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 xml:space="preserve">A5 AAPL Long </w:t>
      </w:r>
      <w:proofErr w:type="spellStart"/>
      <w:r w:rsidRPr="00BD349B">
        <w:rPr>
          <w:rFonts w:asciiTheme="majorHAnsi" w:hAnsiTheme="majorHAnsi"/>
          <w:lang w:val="es-ES"/>
        </w:rPr>
        <w:t>Straddle</w:t>
      </w:r>
      <w:proofErr w:type="spellEnd"/>
      <w:r w:rsidRPr="00BD349B">
        <w:rPr>
          <w:rFonts w:asciiTheme="majorHAnsi" w:hAnsiTheme="majorHAnsi"/>
          <w:lang w:val="es-ES"/>
        </w:rPr>
        <w:t xml:space="preserve"> 335</w:t>
      </w:r>
    </w:p>
    <w:p w14:paraId="6E39D323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 xml:space="preserve">Compra de volatilidad y base para practicar cobertura delta: </w:t>
      </w:r>
      <w:proofErr w:type="spellStart"/>
      <w:r w:rsidRPr="00BD349B">
        <w:rPr>
          <w:rFonts w:asciiTheme="majorHAnsi" w:hAnsiTheme="majorHAnsi"/>
          <w:lang w:val="es-ES"/>
        </w:rPr>
        <w:t>call</w:t>
      </w:r>
      <w:proofErr w:type="spellEnd"/>
      <w:r w:rsidRPr="00BD349B">
        <w:rPr>
          <w:rFonts w:asciiTheme="majorHAnsi" w:hAnsiTheme="majorHAnsi"/>
          <w:lang w:val="es-ES"/>
        </w:rPr>
        <w:t xml:space="preserve"> y </w:t>
      </w:r>
      <w:proofErr w:type="spellStart"/>
      <w:r w:rsidRPr="00BD349B">
        <w:rPr>
          <w:rFonts w:asciiTheme="majorHAnsi" w:hAnsiTheme="majorHAnsi"/>
          <w:lang w:val="es-ES"/>
        </w:rPr>
        <w:t>put</w:t>
      </w:r>
      <w:proofErr w:type="spellEnd"/>
      <w:r w:rsidRPr="00BD349B">
        <w:rPr>
          <w:rFonts w:asciiTheme="majorHAnsi" w:hAnsiTheme="majorHAnsi"/>
          <w:lang w:val="es-ES"/>
        </w:rPr>
        <w:t xml:space="preserve"> 335 comprados.</w:t>
      </w:r>
    </w:p>
    <w:p w14:paraId="3B65C732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27.37 (BBG) contra 10.73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8.85 / 8.83; vega 0.81 / 0.90; theta −0.30 / −0.28; costo 24.10 D / 23.55 D.</w:t>
      </w:r>
    </w:p>
    <w:p w14:paraId="4A97AF24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La delta de Bloomberg (27.37) es mayor que la de </w:t>
      </w:r>
      <w:proofErr w:type="spellStart"/>
      <w:r w:rsidRPr="00BD349B">
        <w:rPr>
          <w:rFonts w:asciiTheme="majorHAnsi" w:hAnsiTheme="majorHAnsi"/>
          <w:lang w:val="es-ES"/>
        </w:rPr>
        <w:t>Refinitiv</w:t>
      </w:r>
      <w:proofErr w:type="spellEnd"/>
      <w:r w:rsidRPr="00BD349B">
        <w:rPr>
          <w:rFonts w:asciiTheme="majorHAnsi" w:hAnsiTheme="majorHAnsi"/>
          <w:lang w:val="es-ES"/>
        </w:rPr>
        <w:t xml:space="preserve"> (10.73) porque AAPL subió 1.9% entre ambas fechas; la gamma prácticamente coincide.</w:t>
      </w:r>
    </w:p>
    <w:p w14:paraId="3826DA1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4E1C323A" wp14:editId="2ABFA720">
            <wp:extent cx="4937760" cy="2222379"/>
            <wp:effectExtent l="0" t="0" r="0" b="0"/>
            <wp:docPr id="1004101246" name="A5-1. OVME Pricing: prima y griegas por pata" descr="A5-1. OVME Pricing: prima y griegas por pata" title="A5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22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47F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A5-1. OVME Pricing: prima y griegas por pata</w:t>
      </w:r>
    </w:p>
    <w:p w14:paraId="3E99F378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57B381E" wp14:editId="332480EF">
            <wp:extent cx="5943600" cy="2681906"/>
            <wp:effectExtent l="0" t="0" r="0" b="0"/>
            <wp:docPr id="1435465102" name="A5-2. OVME Scenario: P&amp;L a distintas fechas" descr="A5-2. OVME Scenario: P&amp;L a distintas fechas" title="A5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134B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A5-2.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23D6EFC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1A7326D8" wp14:editId="4EA5F406">
            <wp:extent cx="5943600" cy="2698531"/>
            <wp:effectExtent l="0" t="0" r="0" b="0"/>
            <wp:docPr id="989671793" name="A5-3. OVME Matrix: griegas por plazo / precio" descr="A5-3. OVME Matrix: griegas por plazo / precio" title="A5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5C5E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A5-3. OVME Matrix: griegas por plazo / precio</w:t>
      </w:r>
    </w:p>
    <w:p w14:paraId="6D19490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4F8F75ED" wp14:editId="4DABE694">
            <wp:extent cx="5943600" cy="2681906"/>
            <wp:effectExtent l="0" t="0" r="0" b="0"/>
            <wp:docPr id="2047134153" name="A5-4. OVDV: superficie de volatilidad implícita" descr="A5-4. OVDV: superficie de volatilidad implícita" title="A5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8B4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A5-4. OVDV: superficie de volatilidad implícita</w:t>
      </w:r>
    </w:p>
    <w:p w14:paraId="4ED3E941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32A84C30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</w:rPr>
      </w:pPr>
      <w:r w:rsidRPr="00BD349B">
        <w:rPr>
          <w:rFonts w:asciiTheme="majorHAnsi" w:hAnsiTheme="majorHAnsi"/>
          <w:color w:val="auto"/>
        </w:rPr>
        <w:lastRenderedPageBreak/>
        <w:t>NVDA</w:t>
      </w:r>
    </w:p>
    <w:p w14:paraId="7D7FA4A7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t>N1 NVDA Long Straddle 230</w:t>
      </w:r>
    </w:p>
    <w:p w14:paraId="24DC84FE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Apuesta a un movimiento fuerte de NVDA por su reporte de noviembre, sin importar la dirección.</w:t>
      </w:r>
    </w:p>
    <w:p w14:paraId="3AE6D486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−18.91 (BBG) contra 5.06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6.58 / 6.50; vega 0.54 / 0.62; theta −0.28 / −0.27; costo 22.39 D / 21.85 D.</w:t>
      </w:r>
    </w:p>
    <w:p w14:paraId="4473E0C3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Con NVDA en 221.30 el </w:t>
      </w:r>
      <w:proofErr w:type="spellStart"/>
      <w:r w:rsidRPr="00BD349B">
        <w:rPr>
          <w:rFonts w:asciiTheme="majorHAnsi" w:hAnsiTheme="majorHAnsi"/>
          <w:lang w:val="es-ES"/>
        </w:rPr>
        <w:t>put</w:t>
      </w:r>
      <w:proofErr w:type="spellEnd"/>
      <w:r w:rsidRPr="00BD349B">
        <w:rPr>
          <w:rFonts w:asciiTheme="majorHAnsi" w:hAnsiTheme="majorHAnsi"/>
          <w:lang w:val="es-ES"/>
        </w:rPr>
        <w:t xml:space="preserve"> pesa más y la delta pasa a negativa (−18.91). En OVDV se ve la joroba de volatilidad entre 6 semanas y 2 meses, que es la prima del reporte.</w:t>
      </w:r>
    </w:p>
    <w:p w14:paraId="2C8268A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6B9A1AB" wp14:editId="2A7BF829">
            <wp:extent cx="4937760" cy="3134971"/>
            <wp:effectExtent l="0" t="0" r="0" b="0"/>
            <wp:docPr id="325355323" name="N1-1. OVME Pricing: prima y griegas por pata" descr="N1-1. OVME Pricing: prima y griegas por pata" title="N1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3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203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N1-1. OVME Pricing: prima y griegas por pata</w:t>
      </w:r>
    </w:p>
    <w:p w14:paraId="53E1A02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0EC0AF8" wp14:editId="2A6DB046">
            <wp:extent cx="5943600" cy="2670268"/>
            <wp:effectExtent l="0" t="0" r="0" b="0"/>
            <wp:docPr id="1397094701" name="N1-2. OVME Scenario: P&amp;L a distintas fechas" descr="N1-2. OVME Scenario: P&amp;L a distintas fechas" title="N1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6DD5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N1-2.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7787354E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4D1041B9" wp14:editId="03B63D50">
            <wp:extent cx="5943600" cy="2716362"/>
            <wp:effectExtent l="0" t="0" r="0" b="0"/>
            <wp:docPr id="2099764955" name="N1-3. OVME Matrix: griegas por plazo / precio" descr="N1-3. OVME Matrix: griegas por plazo / precio" title="N1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E2A1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N1-3. OVME Matrix: griegas por plazo / precio</w:t>
      </w:r>
    </w:p>
    <w:p w14:paraId="5147068A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15AD725" wp14:editId="14FC58F2">
            <wp:extent cx="5943600" cy="2803761"/>
            <wp:effectExtent l="0" t="0" r="0" b="0"/>
            <wp:docPr id="49551811" name="N1-4. OVDV: superficie de volatilidad implícita" descr="N1-4. OVDV: superficie de volatilidad implícita" title="N1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3F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N1-4. OVDV: superficie de volatilidad implícita</w:t>
      </w:r>
    </w:p>
    <w:p w14:paraId="2CB56AF2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46D49BEF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>N2 NVDA Long Strangle 220P/240C</w:t>
      </w:r>
    </w:p>
    <w:p w14:paraId="656EE761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 xml:space="preserve">Misma idea que N1, más </w:t>
      </w:r>
      <w:proofErr w:type="gramStart"/>
      <w:r w:rsidRPr="00BD349B">
        <w:rPr>
          <w:rFonts w:asciiTheme="majorHAnsi" w:hAnsiTheme="majorHAnsi"/>
          <w:lang w:val="es-ES"/>
        </w:rPr>
        <w:t>barata</w:t>
      </w:r>
      <w:proofErr w:type="gramEnd"/>
      <w:r w:rsidRPr="00BD349B">
        <w:rPr>
          <w:rFonts w:asciiTheme="majorHAnsi" w:hAnsiTheme="majorHAnsi"/>
          <w:lang w:val="es-ES"/>
        </w:rPr>
        <w:t xml:space="preserve"> pero con un rango sin ganancia más amplio.</w:t>
      </w:r>
    </w:p>
    <w:p w14:paraId="6AAF5FFC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−17.08 (BBG) contra 5.05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6.12 / 6.12; vega 0.51 / 0.58; theta −0.27 / −0.25; costo 13.86 D / 13.30 D.</w:t>
      </w:r>
    </w:p>
    <w:p w14:paraId="65022807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>Gamma idéntica en ambas fuentes (6.12); la delta cambia de signo por la caída de NVDA.</w:t>
      </w:r>
    </w:p>
    <w:p w14:paraId="1EC67A73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FECFFBA" wp14:editId="321B504F">
            <wp:extent cx="4937760" cy="2706092"/>
            <wp:effectExtent l="0" t="0" r="0" b="0"/>
            <wp:docPr id="1532293762" name="N2-1. OVME Pricing: prima y griegas por pata" descr="N2-1. OVME Pricing: prima y griegas por pata" title="N2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0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4274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N2-1. OVME Pricing: prima y griegas por pata</w:t>
      </w:r>
    </w:p>
    <w:p w14:paraId="1E862A38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CE4BEB3" wp14:editId="4E74D2F9">
            <wp:extent cx="5943600" cy="2690327"/>
            <wp:effectExtent l="0" t="0" r="0" b="0"/>
            <wp:docPr id="566912078" name="N2-2. OVME Scenario: P&amp;L a distintas fechas" descr="N2-2. OVME Scenario: P&amp;L a distintas fechas" title="N2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642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N2-2.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6F254D1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72CE78DD" wp14:editId="75FFB164">
            <wp:extent cx="5943600" cy="2699932"/>
            <wp:effectExtent l="0" t="0" r="0" b="0"/>
            <wp:docPr id="243172914" name="N2-3. OVME Matrix: griegas por plazo / precio" descr="N2-3. OVME Matrix: griegas por plazo / precio" title="N2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31A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N2-3. OVME Matrix: griegas por plazo / precio</w:t>
      </w:r>
    </w:p>
    <w:p w14:paraId="3FDA48C2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6D4533F3" wp14:editId="12E6DD67">
            <wp:extent cx="5943600" cy="2853550"/>
            <wp:effectExtent l="0" t="0" r="0" b="0"/>
            <wp:docPr id="1925611877" name="N2-4. OVDV: superficie de volatilidad implícita" descr="N2-4. OVDV: superficie de volatilidad implícita" title="N2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19F0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N2-4. OVDV: superficie de volatilidad implícita</w:t>
      </w:r>
    </w:p>
    <w:p w14:paraId="34BDCF66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70CA5345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>N3 NVDA Short Iron Butterfly 228/235/245</w:t>
      </w:r>
    </w:p>
    <w:p w14:paraId="1CE96864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Venta de volatilidad: cobramos prima si NVDA se queda cerca de 235.</w:t>
      </w:r>
    </w:p>
    <w:p w14:paraId="41569494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−1.30 (BBG) contra −2.26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−0.42 / −0.32; vega −0.03 / −0.03; theta 0.01 / 0.01; costo 6.77 C / 6.39 C.</w:t>
      </w:r>
    </w:p>
    <w:p w14:paraId="318EB9D9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En Bloomberg quedó al 20-nov; el diseño original era al 18-dic para venderla después del reporte. En </w:t>
      </w:r>
      <w:proofErr w:type="spellStart"/>
      <w:r w:rsidRPr="00BD349B">
        <w:rPr>
          <w:rFonts w:asciiTheme="majorHAnsi" w:hAnsiTheme="majorHAnsi"/>
          <w:lang w:val="es-ES"/>
        </w:rPr>
        <w:t>Scenario</w:t>
      </w:r>
      <w:proofErr w:type="spellEnd"/>
      <w:r w:rsidRPr="00BD349B">
        <w:rPr>
          <w:rFonts w:asciiTheme="majorHAnsi" w:hAnsiTheme="majorHAnsi"/>
          <w:lang w:val="es-ES"/>
        </w:rPr>
        <w:t xml:space="preserve"> se ve la ganancia concentrada en 235 y las alas que limitan la pérdida.</w:t>
      </w:r>
    </w:p>
    <w:p w14:paraId="4B7C89A1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DC87017" wp14:editId="4D80FA9F">
            <wp:extent cx="4937760" cy="3209174"/>
            <wp:effectExtent l="0" t="0" r="0" b="0"/>
            <wp:docPr id="1858755839" name="N3-1. OVME Pricing: prima y griegas por pata" descr="N3-1. OVME Pricing: prima y griegas por pata" title="N3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0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D07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N3-1. OVME Pricing: prima y griegas por pata</w:t>
      </w:r>
    </w:p>
    <w:p w14:paraId="64230D92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681B7E8D" wp14:editId="01D2CA6F">
            <wp:extent cx="5943600" cy="2647123"/>
            <wp:effectExtent l="0" t="0" r="0" b="0"/>
            <wp:docPr id="1703162169" name="N3-2. OVME Scenario: P&amp;L a distintas fechas" descr="N3-2. OVME Scenario: P&amp;L a distintas fechas" title="N3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82C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N3-2.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53C256A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EACA452" wp14:editId="1028A6C6">
            <wp:extent cx="5943600" cy="2594478"/>
            <wp:effectExtent l="0" t="0" r="0" b="0"/>
            <wp:docPr id="686764967" name="N3-3. OVME Matrix: griegas por plazo / precio" descr="N3-3. OVME Matrix: griegas por plazo / precio" title="N3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F5C6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N3-3. OVME Matrix: griegas por plazo / precio</w:t>
      </w:r>
    </w:p>
    <w:p w14:paraId="1E789F59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292C144" wp14:editId="530CFE2E">
            <wp:extent cx="5943600" cy="2595662"/>
            <wp:effectExtent l="0" t="0" r="0" b="0"/>
            <wp:docPr id="2120645663" name="N3-4. OVDV: superficie de volatilidad implícita" descr="N3-4. OVDV: superficie de volatilidad implícita" title="N3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DAD3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N3-4. OVDV: superficie de volatilidad implícita</w:t>
      </w:r>
    </w:p>
    <w:p w14:paraId="6E287AAF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21F787F5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>N4 NVDA Bull Call 230/245</w:t>
      </w:r>
    </w:p>
    <w:p w14:paraId="30278990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Visión alcista en NVDA con riesgo limitado.</w:t>
      </w:r>
    </w:p>
    <w:p w14:paraId="77D51EB1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18.78 (BBG) contra 20.63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0.75 / 0.18; vega 0.06 / 0.03; theta −0.03 / −0.02; costo 4.11 D / 5.91 D.</w:t>
      </w:r>
    </w:p>
    <w:p w14:paraId="46077425" w14:textId="77777777" w:rsidR="00B16CE7" w:rsidRPr="00BD349B" w:rsidRDefault="00000000">
      <w:pPr>
        <w:spacing w:after="120" w:line="276" w:lineRule="auto"/>
        <w:rPr>
          <w:rFonts w:asciiTheme="majorHAnsi" w:hAnsiTheme="majorHAnsi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Ambos strikes quedaron fuera del dinero tras la caída de NVDA, por eso la gamma es positiva pero pequeña. </w:t>
      </w:r>
      <w:r w:rsidRPr="00BD349B">
        <w:rPr>
          <w:rFonts w:asciiTheme="majorHAnsi" w:hAnsiTheme="majorHAnsi"/>
        </w:rPr>
        <w:t xml:space="preserve">También se </w:t>
      </w:r>
      <w:proofErr w:type="spellStart"/>
      <w:r w:rsidRPr="00BD349B">
        <w:rPr>
          <w:rFonts w:asciiTheme="majorHAnsi" w:hAnsiTheme="majorHAnsi"/>
        </w:rPr>
        <w:t>capturó</w:t>
      </w:r>
      <w:proofErr w:type="spellEnd"/>
      <w:r w:rsidRPr="00BD349B">
        <w:rPr>
          <w:rFonts w:asciiTheme="majorHAnsi" w:hAnsiTheme="majorHAnsi"/>
        </w:rPr>
        <w:t xml:space="preserve"> al 20-nov y </w:t>
      </w:r>
      <w:proofErr w:type="gramStart"/>
      <w:r w:rsidRPr="00BD349B">
        <w:rPr>
          <w:rFonts w:asciiTheme="majorHAnsi" w:hAnsiTheme="majorHAnsi"/>
        </w:rPr>
        <w:t>no</w:t>
      </w:r>
      <w:proofErr w:type="gramEnd"/>
      <w:r w:rsidRPr="00BD349B">
        <w:rPr>
          <w:rFonts w:asciiTheme="majorHAnsi" w:hAnsiTheme="majorHAnsi"/>
        </w:rPr>
        <w:t xml:space="preserve"> al 18-dic.</w:t>
      </w:r>
    </w:p>
    <w:p w14:paraId="26FF956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480188F" wp14:editId="313AFB5E">
            <wp:extent cx="4937760" cy="3395220"/>
            <wp:effectExtent l="0" t="0" r="0" b="0"/>
            <wp:docPr id="530726334" name="N4-1. OVME Pricing: prima y griegas por pata" descr="N4-1. OVME Pricing: prima y griegas por pata" title="N4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0BE1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N4-1. OVME Pricing: prima y griegas por pata</w:t>
      </w:r>
    </w:p>
    <w:p w14:paraId="3A1880B1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ECA21AF" wp14:editId="6B7B1CED">
            <wp:extent cx="5943600" cy="2625221"/>
            <wp:effectExtent l="0" t="0" r="0" b="0"/>
            <wp:docPr id="1239560440" name="N4-2. OVME Scenario: P&amp;L a distintas fechas" descr="N4-2. OVME Scenario: P&amp;L a distintas fechas" title="N4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EAD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N4-2.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05F7A443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6D118E94" wp14:editId="5597C5EA">
            <wp:extent cx="5943600" cy="2717520"/>
            <wp:effectExtent l="0" t="0" r="0" b="0"/>
            <wp:docPr id="1506175312" name="N4-3. OVME Matrix: griegas por plazo / precio" descr="N4-3. OVME Matrix: griegas por plazo / precio" title="N4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438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N4-3. OVME Matrix: griegas por plazo / precio</w:t>
      </w:r>
    </w:p>
    <w:p w14:paraId="2FDB894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A908F7B" wp14:editId="56DD239F">
            <wp:extent cx="5943600" cy="2587287"/>
            <wp:effectExtent l="0" t="0" r="0" b="0"/>
            <wp:docPr id="696409793" name="N4-4. OVDV: superficie de volatilidad implícita" descr="N4-4. OVDV: superficie de volatilidad implícita" title="N4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15D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N4-4. OVDV: superficie de volatilidad implícita</w:t>
      </w:r>
    </w:p>
    <w:p w14:paraId="6D6645F4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079681DA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</w:rPr>
      </w:pPr>
      <w:r w:rsidRPr="00BD349B">
        <w:rPr>
          <w:rFonts w:asciiTheme="majorHAnsi" w:hAnsiTheme="majorHAnsi"/>
          <w:color w:val="auto"/>
        </w:rPr>
        <w:lastRenderedPageBreak/>
        <w:t>META</w:t>
      </w:r>
    </w:p>
    <w:p w14:paraId="3400445D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t>M1 META Call Calendar 720 (oct-30/</w:t>
      </w:r>
      <w:proofErr w:type="spellStart"/>
      <w:r w:rsidRPr="00BD349B">
        <w:rPr>
          <w:rFonts w:asciiTheme="majorHAnsi" w:hAnsiTheme="majorHAnsi"/>
        </w:rPr>
        <w:t>dic</w:t>
      </w:r>
      <w:proofErr w:type="spellEnd"/>
      <w:r w:rsidRPr="00BD349B">
        <w:rPr>
          <w:rFonts w:asciiTheme="majorHAnsi" w:hAnsiTheme="majorHAnsi"/>
        </w:rPr>
        <w:t>)</w:t>
      </w:r>
    </w:p>
    <w:p w14:paraId="094B7828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Vender la volatilidad inflada del 30-oct (incluye el reporte del 21-oct) y comprar diciembre.</w:t>
      </w:r>
    </w:p>
    <w:p w14:paraId="2F4D5E3D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−1.31 (BBG) contra 2.29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−1.43 / −1.06; vega 0.61 / 0.56; theta 0.57 / 0.46; costo 20.65 D / 19.00 D.</w:t>
      </w:r>
    </w:p>
    <w:p w14:paraId="46251D7B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En Pricing se ve la diferencia de volatilidad entre patas: 49.4% en octubre contra 40.0% en diciembre. En </w:t>
      </w:r>
      <w:proofErr w:type="spellStart"/>
      <w:r w:rsidRPr="00BD349B">
        <w:rPr>
          <w:rFonts w:asciiTheme="majorHAnsi" w:hAnsiTheme="majorHAnsi"/>
          <w:lang w:val="es-ES"/>
        </w:rPr>
        <w:t>Scenario</w:t>
      </w:r>
      <w:proofErr w:type="spellEnd"/>
      <w:r w:rsidRPr="00BD349B">
        <w:rPr>
          <w:rFonts w:asciiTheme="majorHAnsi" w:hAnsiTheme="majorHAnsi"/>
          <w:lang w:val="es-ES"/>
        </w:rPr>
        <w:t xml:space="preserve"> se forma la "carpa" típica del calendar alrededor de 720.</w:t>
      </w:r>
    </w:p>
    <w:p w14:paraId="18E8D0E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CAC5E9A" wp14:editId="7BB643F6">
            <wp:extent cx="4937760" cy="3730651"/>
            <wp:effectExtent l="0" t="0" r="0" b="0"/>
            <wp:docPr id="1763730641" name="M1-1. OVME Pricing: prima y griegas por pata" descr="M1-1. OVME Pricing: prima y griegas por pata" title="M1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7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D463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M1-1. OVME Pricing: prima y griegas por pata</w:t>
      </w:r>
    </w:p>
    <w:p w14:paraId="4617ADF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A5A24B0" wp14:editId="0F3E3235">
            <wp:extent cx="5943600" cy="2569029"/>
            <wp:effectExtent l="0" t="0" r="0" b="0"/>
            <wp:docPr id="1127246876" name="M1-2. OVME Scenario: P&amp;L a distintas fechas" descr="M1-2. OVME Scenario: P&amp;L a distintas fechas" title="M1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8199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M1-2.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716D8C2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6018CC8E" wp14:editId="326C515B">
            <wp:extent cx="5943600" cy="2634630"/>
            <wp:effectExtent l="0" t="0" r="0" b="0"/>
            <wp:docPr id="435996430" name="M1-3. OVME Matrix: griegas por plazo / precio" descr="M1-3. OVME Matrix: griegas por plazo / precio" title="M1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3ED0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M1-3. OVME Matrix: griegas por plazo / precio</w:t>
      </w:r>
    </w:p>
    <w:p w14:paraId="0EC45D40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079EDDF" wp14:editId="60A7475F">
            <wp:extent cx="5943600" cy="2601104"/>
            <wp:effectExtent l="0" t="0" r="0" b="0"/>
            <wp:docPr id="1308163368" name="M1-4. OVDV: superficie de volatilidad implícita" descr="M1-4. OVDV: superficie de volatilidad implícita" title="M1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0FC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M1-4. OVDV: superficie de volatilidad implícita</w:t>
      </w:r>
    </w:p>
    <w:p w14:paraId="347B3F19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77306FB4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>M2 META Put Calendar 720 (oct-30/</w:t>
      </w:r>
      <w:proofErr w:type="spellStart"/>
      <w:r w:rsidRPr="00BD349B">
        <w:rPr>
          <w:rFonts w:asciiTheme="majorHAnsi" w:hAnsiTheme="majorHAnsi"/>
        </w:rPr>
        <w:t>dic</w:t>
      </w:r>
      <w:proofErr w:type="spellEnd"/>
      <w:r w:rsidRPr="00BD349B">
        <w:rPr>
          <w:rFonts w:asciiTheme="majorHAnsi" w:hAnsiTheme="majorHAnsi"/>
        </w:rPr>
        <w:t>)</w:t>
      </w:r>
    </w:p>
    <w:p w14:paraId="183A537D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 xml:space="preserve">Misma lógica que </w:t>
      </w:r>
      <w:proofErr w:type="gramStart"/>
      <w:r w:rsidRPr="00BD349B">
        <w:rPr>
          <w:rFonts w:asciiTheme="majorHAnsi" w:hAnsiTheme="majorHAnsi"/>
          <w:lang w:val="es-ES"/>
        </w:rPr>
        <w:t>M1</w:t>
      </w:r>
      <w:proofErr w:type="gramEnd"/>
      <w:r w:rsidRPr="00BD349B">
        <w:rPr>
          <w:rFonts w:asciiTheme="majorHAnsi" w:hAnsiTheme="majorHAnsi"/>
          <w:lang w:val="es-ES"/>
        </w:rPr>
        <w:t xml:space="preserve"> pero con </w:t>
      </w:r>
      <w:proofErr w:type="spellStart"/>
      <w:r w:rsidRPr="00BD349B">
        <w:rPr>
          <w:rFonts w:asciiTheme="majorHAnsi" w:hAnsiTheme="majorHAnsi"/>
          <w:lang w:val="es-ES"/>
        </w:rPr>
        <w:t>puts</w:t>
      </w:r>
      <w:proofErr w:type="spellEnd"/>
      <w:r w:rsidRPr="00BD349B">
        <w:rPr>
          <w:rFonts w:asciiTheme="majorHAnsi" w:hAnsiTheme="majorHAnsi"/>
          <w:lang w:val="es-ES"/>
        </w:rPr>
        <w:t>.</w:t>
      </w:r>
    </w:p>
    <w:p w14:paraId="10A1A912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−1.54 (BBG) contra 2.00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−1.42 / −1.07; vega 0.61 / 0.56; theta 0.56 / 0.45; costo 17.28 D / 15.40 D.</w:t>
      </w:r>
    </w:p>
    <w:p w14:paraId="24DFD608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>Griegas casi iguales a M1, lo cual tiene sentido porque ambas patas están en el mismo strike y vencimiento.</w:t>
      </w:r>
    </w:p>
    <w:p w14:paraId="3A22B71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C69ECAB" wp14:editId="56A9234D">
            <wp:extent cx="4937760" cy="3014900"/>
            <wp:effectExtent l="0" t="0" r="0" b="0"/>
            <wp:docPr id="1403878917" name="M2-1. OVME Pricing: prima y griegas por pata" descr="M2-1. OVME Pricing: prima y griegas por pata" title="M2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B4F1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M2-1. OVME Pricing: prima y griegas por pata</w:t>
      </w:r>
    </w:p>
    <w:p w14:paraId="4E45607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1BC303E" wp14:editId="1B938A40">
            <wp:extent cx="5943600" cy="2586336"/>
            <wp:effectExtent l="0" t="0" r="0" b="0"/>
            <wp:docPr id="888449949" name="M2-2. OVME Scenario: P&amp;L a distintas fechas" descr="M2-2. OVME Scenario: P&amp;L a distintas fechas" title="M2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5434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M2-2.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6D1242F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62B76EB" wp14:editId="4C7DDBA7">
            <wp:extent cx="5943600" cy="2511731"/>
            <wp:effectExtent l="0" t="0" r="0" b="0"/>
            <wp:docPr id="984989254" name="M2-3. OVME Matrix: griegas por plazo / precio" descr="M2-3. OVME Matrix: griegas por plazo / precio" title="M2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725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M2-3. OVME Matrix: griegas por plazo / precio</w:t>
      </w:r>
    </w:p>
    <w:p w14:paraId="2FF25C6E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3607E0C" wp14:editId="77D046CE">
            <wp:extent cx="5943600" cy="2592720"/>
            <wp:effectExtent l="0" t="0" r="0" b="0"/>
            <wp:docPr id="1669621415" name="M2-4. OVDV: superficie de volatilidad implícita" descr="M2-4. OVDV: superficie de volatilidad implícita" title="M2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64B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M2-4. OVDV: superficie de volatilidad implícita</w:t>
      </w:r>
    </w:p>
    <w:p w14:paraId="07541F64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4144E16C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 xml:space="preserve">M3 META Call Diagonal 720 oct-30 / 700 </w:t>
      </w:r>
      <w:proofErr w:type="spellStart"/>
      <w:r w:rsidRPr="00BD349B">
        <w:rPr>
          <w:rFonts w:asciiTheme="majorHAnsi" w:hAnsiTheme="majorHAnsi"/>
        </w:rPr>
        <w:t>dic</w:t>
      </w:r>
      <w:proofErr w:type="spellEnd"/>
    </w:p>
    <w:p w14:paraId="0A88B884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Calendar con sesgo alcista: la pata larga en 700 agrega delta positiva.</w:t>
      </w:r>
    </w:p>
    <w:p w14:paraId="3A1B4FFC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4.95 (BBG) contra 8.85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−1.57 / −1.13; vega 0.54 / 0.52; theta 0.59 / 0.47; costo 32.13 D / 29.55 D.</w:t>
      </w:r>
    </w:p>
    <w:p w14:paraId="44D83A95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>Es la única de las estrategias de META con delta positiva relevante (4.95 en Bloomberg).</w:t>
      </w:r>
    </w:p>
    <w:p w14:paraId="364C3D45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C3952BC" wp14:editId="0E27C08E">
            <wp:extent cx="4937760" cy="2983003"/>
            <wp:effectExtent l="0" t="0" r="0" b="0"/>
            <wp:docPr id="1483389397" name="M3-1. OVME Pricing: prima y griegas por pata" descr="M3-1. OVME Pricing: prima y griegas por pata" title="M3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9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636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M3-1. OVME Pricing: prima y griegas por pata</w:t>
      </w:r>
    </w:p>
    <w:p w14:paraId="530DFA8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612BB4A" wp14:editId="37A7C619">
            <wp:extent cx="5943600" cy="2468210"/>
            <wp:effectExtent l="0" t="0" r="0" b="0"/>
            <wp:docPr id="1399327551" name="M3-2. OVME Scenario: P&amp;L a distintas fechas" descr="M3-2. OVME Scenario: P&amp;L a distintas fechas" title="M3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F425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M3-2.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6EB306E1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3A677A1C" wp14:editId="2EC45386">
            <wp:extent cx="5943600" cy="2569953"/>
            <wp:effectExtent l="0" t="0" r="0" b="0"/>
            <wp:docPr id="1359110020" name="M3-3. OVME Matrix: griegas por plazo / precio" descr="M3-3. OVME Matrix: griegas por plazo / precio" title="M3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E4F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M3-3. OVME Matrix: griegas por plazo / precio</w:t>
      </w:r>
    </w:p>
    <w:p w14:paraId="7A2BC20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CC4FCDE" wp14:editId="6C25AB89">
            <wp:extent cx="5943600" cy="2603447"/>
            <wp:effectExtent l="0" t="0" r="0" b="0"/>
            <wp:docPr id="922670847" name="M3-4. OVDV: superficie de volatilidad implícita" descr="M3-4. OVDV: superficie de volatilidad implícita" title="M3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634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M3-4. OVDV: superficie de volatilidad implícita</w:t>
      </w:r>
    </w:p>
    <w:p w14:paraId="1EACC29B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64B26FE0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>M4 META Call Calendar 720 (nov/dic)</w:t>
      </w:r>
    </w:p>
    <w:p w14:paraId="2C7ACDBA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Calendar de control: la pata corta no incluye el reporte.</w:t>
      </w:r>
    </w:p>
    <w:p w14:paraId="7E331AE1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−0.35 (BBG) contra 1.06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−0.59 / −0.44; vega 0.30 / 0.28; theta 0.16 / 0.14; costo 10.94 D / 9.80 D.</w:t>
      </w:r>
    </w:p>
    <w:p w14:paraId="099B206E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>La diferencia de volatilidad entre patas es de solo 2.1 puntos, la vega es la mitad que en M1 y la theta menos de un tercio. Eso confirma que el reporte es lo que le da valor al calendar de octubre.</w:t>
      </w:r>
    </w:p>
    <w:p w14:paraId="1F37C4A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C328D45" wp14:editId="3A627C7D">
            <wp:extent cx="4937760" cy="3085172"/>
            <wp:effectExtent l="0" t="0" r="0" b="0"/>
            <wp:docPr id="830710979" name="M4-1. OVME Pricing: prima y griegas por pata" descr="M4-1. OVME Pricing: prima y griegas por pata" title="M4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08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DFF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M4-1. OVME Pricing: prima y griegas por pata</w:t>
      </w:r>
    </w:p>
    <w:p w14:paraId="79C08B8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6F4E9AF4" wp14:editId="359B70C9">
            <wp:extent cx="5943600" cy="2557926"/>
            <wp:effectExtent l="0" t="0" r="0" b="0"/>
            <wp:docPr id="1956837379" name="M4-2. OVME Scenario: P&amp;L a distintas fechas" descr="M4-2. OVME Scenario: P&amp;L a distintas fechas" title="M4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AB96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M4-2.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7CE193F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2742A976" wp14:editId="436BD08F">
            <wp:extent cx="5943600" cy="2630876"/>
            <wp:effectExtent l="0" t="0" r="0" b="0"/>
            <wp:docPr id="929225157" name="M4-3. OVME Matrix: griegas por plazo / precio" descr="M4-3. OVME Matrix: griegas por plazo / precio" title="M4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9D29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M4-3. OVME Matrix: griegas por plazo / precio</w:t>
      </w:r>
    </w:p>
    <w:p w14:paraId="5A55341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A2CDCBC" wp14:editId="461CE985">
            <wp:extent cx="5943600" cy="2641600"/>
            <wp:effectExtent l="0" t="0" r="0" b="0"/>
            <wp:docPr id="1191621521" name="M4-4. OVDV: superficie de volatilidad implícita" descr="M4-4. OVDV: superficie de volatilidad implícita" title="M4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3C7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M4-4. OVDV: superficie de volatilidad implícita</w:t>
      </w:r>
    </w:p>
    <w:p w14:paraId="7D692A9F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46952433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>M5 META Bull Call 700/730</w:t>
      </w:r>
    </w:p>
    <w:p w14:paraId="629A9DE7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Visión alcista en META con riesgo limitado.</w:t>
      </w:r>
    </w:p>
    <w:p w14:paraId="60A89DE7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11.56 (BBG) contra 11.84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−0.35 / −0.13; vega −0.09 / −0.04; theta 0.04 / 0.01; costo 18.13 D / 15.90 D.</w:t>
      </w:r>
    </w:p>
    <w:p w14:paraId="3FBE91D7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>Con META en 737.54 los dos strikes están dentro del dinero y la estrategia ya está en su ganancia máxima.</w:t>
      </w:r>
    </w:p>
    <w:p w14:paraId="0CEDC6AA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E376942" wp14:editId="0ECDEFEE">
            <wp:extent cx="4937760" cy="3176741"/>
            <wp:effectExtent l="0" t="0" r="0" b="0"/>
            <wp:docPr id="236860193" name="M5-1. OVME Pricing: prima y griegas por pata" descr="M5-1. OVME Pricing: prima y griegas por pata" title="M5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7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2E45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M5-1. OVME Pricing: prima y griegas por pata</w:t>
      </w:r>
    </w:p>
    <w:p w14:paraId="115ABDA0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D7A46F8" wp14:editId="270152D7">
            <wp:extent cx="5943600" cy="2580529"/>
            <wp:effectExtent l="0" t="0" r="0" b="0"/>
            <wp:docPr id="1234692266" name="M5-2. OVME Scenario: P&amp;L a distintas fechas" descr="M5-2. OVME Scenario: P&amp;L a distintas fechas" title="M5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B36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M5-2.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0837374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78D3C52A" wp14:editId="6F3FCBE6">
            <wp:extent cx="5943600" cy="2549483"/>
            <wp:effectExtent l="0" t="0" r="0" b="0"/>
            <wp:docPr id="966973020" name="M5-3. OVME Matrix: griegas por plazo / precio" descr="M5-3. OVME Matrix: griegas por plazo / precio" title="M5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5E68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M5-3. OVME Matrix: griegas por plazo / precio</w:t>
      </w:r>
    </w:p>
    <w:p w14:paraId="2B429DCA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D7E2944" wp14:editId="6C021980">
            <wp:extent cx="5943600" cy="2608320"/>
            <wp:effectExtent l="0" t="0" r="0" b="0"/>
            <wp:docPr id="383788850" name="M5-4. OVDV: superficie de volatilidad implícita" descr="M5-4. OVDV: superficie de volatilidad implícita" title="M5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185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M5-4. OVDV: superficie de volatilidad implícita</w:t>
      </w:r>
    </w:p>
    <w:p w14:paraId="262E7FCC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60E985CE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</w:rPr>
      </w:pPr>
      <w:r w:rsidRPr="00BD349B">
        <w:rPr>
          <w:rFonts w:asciiTheme="majorHAnsi" w:hAnsiTheme="majorHAnsi"/>
          <w:color w:val="auto"/>
        </w:rPr>
        <w:lastRenderedPageBreak/>
        <w:t>TSLA</w:t>
      </w:r>
    </w:p>
    <w:p w14:paraId="79BF21B9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t>T1 TSLA Long Straddle 385 (16-oct)</w:t>
      </w:r>
    </w:p>
    <w:p w14:paraId="347DBA02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 xml:space="preserve">Lado de corto plazo del </w:t>
      </w:r>
      <w:proofErr w:type="spellStart"/>
      <w:r w:rsidRPr="00BD349B">
        <w:rPr>
          <w:rFonts w:asciiTheme="majorHAnsi" w:hAnsiTheme="majorHAnsi"/>
          <w:lang w:val="es-ES"/>
        </w:rPr>
        <w:t>trade</w:t>
      </w:r>
      <w:proofErr w:type="spellEnd"/>
      <w:r w:rsidRPr="00BD349B">
        <w:rPr>
          <w:rFonts w:asciiTheme="majorHAnsi" w:hAnsiTheme="majorHAnsi"/>
          <w:lang w:val="es-ES"/>
        </w:rPr>
        <w:t>-off gamma/theta: mucha gamma a cambio de mucho desgaste diario.</w:t>
      </w:r>
    </w:p>
    <w:p w14:paraId="5655A5AF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−76.12 (BBG) contra −6.33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10.11 / 13.26; vega 0.10 / 0.42; theta −1.43 / −1.30; costo 19.48 D / 16.15 D.</w:t>
      </w:r>
    </w:p>
    <w:p w14:paraId="2EC204F0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A un día del vencimiento y con volatilidad de 57%, en la práctica ya es un </w:t>
      </w:r>
      <w:proofErr w:type="spellStart"/>
      <w:r w:rsidRPr="00BD349B">
        <w:rPr>
          <w:rFonts w:asciiTheme="majorHAnsi" w:hAnsiTheme="majorHAnsi"/>
          <w:lang w:val="es-ES"/>
        </w:rPr>
        <w:t>put</w:t>
      </w:r>
      <w:proofErr w:type="spellEnd"/>
      <w:r w:rsidRPr="00BD349B">
        <w:rPr>
          <w:rFonts w:asciiTheme="majorHAnsi" w:hAnsiTheme="majorHAnsi"/>
          <w:lang w:val="es-ES"/>
        </w:rPr>
        <w:t xml:space="preserve"> largo (delta −76.12). La serie venció el 16-oct, por lo que ya no se puede operar.</w:t>
      </w:r>
    </w:p>
    <w:p w14:paraId="6444474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79930D2" wp14:editId="3AF2C2BA">
            <wp:extent cx="4937760" cy="3725320"/>
            <wp:effectExtent l="0" t="0" r="0" b="0"/>
            <wp:docPr id="1405351500" name="T1-1. OVME Pricing: prima y griegas por pata" descr="T1-1. OVME Pricing: prima y griegas por pata" title="T1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7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2B56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T1-1. OVME Pricing: prima y griegas por pata</w:t>
      </w:r>
    </w:p>
    <w:p w14:paraId="05DE5318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E253CA1" wp14:editId="4593A4E9">
            <wp:extent cx="5943600" cy="2345749"/>
            <wp:effectExtent l="0" t="0" r="0" b="0"/>
            <wp:docPr id="1221236986" name="T1-2. OVME Scenario: P&amp;L a distintas fechas" descr="T1-2. OVME Scenario: P&amp;L a distintas fechas" title="T1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72D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T1-2.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070FB77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4C2A4FDE" wp14:editId="0E46CD98">
            <wp:extent cx="5943600" cy="1414552"/>
            <wp:effectExtent l="0" t="0" r="0" b="0"/>
            <wp:docPr id="119195676" name="T1-3. OVME Matrix: griegas por plazo / precio" descr="T1-3. OVME Matrix: griegas por plazo / precio" title="T1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D7AF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T1-3. OVME Matrix: griegas por plazo / precio</w:t>
      </w:r>
    </w:p>
    <w:p w14:paraId="4BA4FA90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4D4A00CE" wp14:editId="2B0DCEB5">
            <wp:extent cx="5943600" cy="2347055"/>
            <wp:effectExtent l="0" t="0" r="0" b="0"/>
            <wp:docPr id="1887007035" name="T1-4. OVDV: superficie de volatilidad implícita" descr="T1-4. OVDV: superficie de volatilidad implícita" title="T1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43A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T1-4. OVDV: superficie de volatilidad implícita</w:t>
      </w:r>
    </w:p>
    <w:p w14:paraId="4A8A0F3A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2D76F392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>T2 TSLA Long Straddle 385 (18-dic)</w:t>
      </w:r>
    </w:p>
    <w:p w14:paraId="476AF72A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Mismo strike que T1 a plazo largo, para comparar contra T1.</w:t>
      </w:r>
    </w:p>
    <w:p w14:paraId="6D98D8E7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−12.64 (BBG) contra 7.14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4.65 / 4.43; vega 1.22 / 1.33; theta −0.39 / −0.39; costo 53.01 D / 54.15 D.</w:t>
      </w:r>
    </w:p>
    <w:p w14:paraId="1BC5FD2C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Frente a T1 tiene menos gamma y </w:t>
      </w:r>
      <w:proofErr w:type="gramStart"/>
      <w:r w:rsidRPr="00BD349B">
        <w:rPr>
          <w:rFonts w:asciiTheme="majorHAnsi" w:hAnsiTheme="majorHAnsi"/>
          <w:lang w:val="es-ES"/>
        </w:rPr>
        <w:t>theta</w:t>
      </w:r>
      <w:proofErr w:type="gramEnd"/>
      <w:r w:rsidRPr="00BD349B">
        <w:rPr>
          <w:rFonts w:asciiTheme="majorHAnsi" w:hAnsiTheme="majorHAnsi"/>
          <w:lang w:val="es-ES"/>
        </w:rPr>
        <w:t xml:space="preserve"> pero doce veces más vega; en Matrix se ve cómo cambian las griegas con el plazo.</w:t>
      </w:r>
    </w:p>
    <w:p w14:paraId="158E402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4BBFB07F" wp14:editId="13E2E190">
            <wp:extent cx="4937760" cy="3661237"/>
            <wp:effectExtent l="0" t="0" r="0" b="0"/>
            <wp:docPr id="189633989" name="T2-1. OVME Pricing: prima y griegas por pata" descr="T2-1. OVME Pricing: prima y griegas por pata" title="T2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66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D05E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T2-1. OVME Pricing: prima y griegas por pata</w:t>
      </w:r>
    </w:p>
    <w:p w14:paraId="6429627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1F41A99" wp14:editId="0CAD056D">
            <wp:extent cx="5943600" cy="2425262"/>
            <wp:effectExtent l="0" t="0" r="0" b="0"/>
            <wp:docPr id="1088900815" name="T2-2. OVME Scenario: P&amp;L a distintas fechas" descr="T2-2. OVME Scenario: P&amp;L a distintas fechas" title="T2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518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T2-2.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544BDA99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64B5CFA9" wp14:editId="2DEC658C">
            <wp:extent cx="5943600" cy="2425262"/>
            <wp:effectExtent l="0" t="0" r="0" b="0"/>
            <wp:docPr id="1451347895" name="T2-3. OVME Matrix: griegas por plazo / precio" descr="T2-3. OVME Matrix: griegas por plazo / precio" title="T2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F3A6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T2-3. OVME Matrix: griegas por plazo / precio</w:t>
      </w:r>
    </w:p>
    <w:p w14:paraId="1B491FDE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61006A46" wp14:editId="67F9E508">
            <wp:extent cx="5943600" cy="2444445"/>
            <wp:effectExtent l="0" t="0" r="0" b="0"/>
            <wp:docPr id="1771823766" name="T2-4. OVDV: superficie de volatilidad implícita" descr="T2-4. OVDV: superficie de volatilidad implícita" title="T2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452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T2-4. OVDV: superficie de volatilidad implícita</w:t>
      </w:r>
    </w:p>
    <w:p w14:paraId="58623AF7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4B7D0659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>T3 TSLA Call Calendar 385 (16-oct/</w:t>
      </w:r>
      <w:proofErr w:type="spellStart"/>
      <w:r w:rsidRPr="00BD349B">
        <w:rPr>
          <w:rFonts w:asciiTheme="majorHAnsi" w:hAnsiTheme="majorHAnsi"/>
        </w:rPr>
        <w:t>dic</w:t>
      </w:r>
      <w:proofErr w:type="spellEnd"/>
      <w:r w:rsidRPr="00BD349B">
        <w:rPr>
          <w:rFonts w:asciiTheme="majorHAnsi" w:hAnsiTheme="majorHAnsi"/>
        </w:rPr>
        <w:t>)</w:t>
      </w:r>
    </w:p>
    <w:p w14:paraId="16695E66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 xml:space="preserve">Vender el </w:t>
      </w:r>
      <w:proofErr w:type="spellStart"/>
      <w:r w:rsidRPr="00BD349B">
        <w:rPr>
          <w:rFonts w:asciiTheme="majorHAnsi" w:hAnsiTheme="majorHAnsi"/>
          <w:lang w:val="es-ES"/>
        </w:rPr>
        <w:t>call</w:t>
      </w:r>
      <w:proofErr w:type="spellEnd"/>
      <w:r w:rsidRPr="00BD349B">
        <w:rPr>
          <w:rFonts w:asciiTheme="majorHAnsi" w:hAnsiTheme="majorHAnsi"/>
          <w:lang w:val="es-ES"/>
        </w:rPr>
        <w:t xml:space="preserve"> semanal caro y quedar largos en vega en diciembre.</w:t>
      </w:r>
    </w:p>
    <w:p w14:paraId="63572F44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31.81 (BBG) contra 6.97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−2.80 / −4.42; vega 0.56 / 0.45; theta 0.53 / 0.46; costo 17.91 D / 20.65 D.</w:t>
      </w:r>
    </w:p>
    <w:p w14:paraId="22BD3718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La pata corta del 16-oct valía 0.87 y ya venció; para el simulador se reemplazó por el </w:t>
      </w:r>
      <w:proofErr w:type="spellStart"/>
      <w:r w:rsidRPr="00BD349B">
        <w:rPr>
          <w:rFonts w:asciiTheme="majorHAnsi" w:hAnsiTheme="majorHAnsi"/>
          <w:lang w:val="es-ES"/>
        </w:rPr>
        <w:t>call</w:t>
      </w:r>
      <w:proofErr w:type="spellEnd"/>
      <w:r w:rsidRPr="00BD349B">
        <w:rPr>
          <w:rFonts w:asciiTheme="majorHAnsi" w:hAnsiTheme="majorHAnsi"/>
          <w:lang w:val="es-ES"/>
        </w:rPr>
        <w:t xml:space="preserve"> 385 del 20-nov.</w:t>
      </w:r>
    </w:p>
    <w:p w14:paraId="4FF76311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8D4496E" wp14:editId="031205E3">
            <wp:extent cx="4937760" cy="3838356"/>
            <wp:effectExtent l="0" t="0" r="0" b="0"/>
            <wp:docPr id="730793384" name="T3-1. OVME Pricing: prima y griegas por pata" descr="T3-1. OVME Pricing: prima y griegas por pata" title="T3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83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6AB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T3-1. OVME Pricing: prima y griegas por pata</w:t>
      </w:r>
    </w:p>
    <w:p w14:paraId="052B3C7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657891EE" wp14:editId="5D8347B4">
            <wp:extent cx="5943600" cy="2433600"/>
            <wp:effectExtent l="0" t="0" r="0" b="0"/>
            <wp:docPr id="1202396476" name="T3-2. OVME Scenario: P&amp;L a distintas fechas" descr="T3-2. OVME Scenario: P&amp;L a distintas fechas" title="T3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3B01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T3-2.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37D381C9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1062B8FB" wp14:editId="365F40F0">
            <wp:extent cx="5943600" cy="2423996"/>
            <wp:effectExtent l="0" t="0" r="0" b="0"/>
            <wp:docPr id="1851676149" name="T3-3. OVME Matrix: griegas por plazo / precio" descr="T3-3. OVME Matrix: griegas por plazo / precio" title="T3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CF7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T3-3. OVME Matrix: griegas por plazo / precio</w:t>
      </w:r>
    </w:p>
    <w:p w14:paraId="13F2D59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F4B0329" wp14:editId="7BC54323">
            <wp:extent cx="5943600" cy="2391747"/>
            <wp:effectExtent l="0" t="0" r="0" b="0"/>
            <wp:docPr id="1878021147" name="T3-4. OVDV: superficie de volatilidad implícita" descr="T3-4. OVDV: superficie de volatilidad implícita" title="T3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B9E6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T3-4. OVDV: superficie de volatilidad implícita</w:t>
      </w:r>
    </w:p>
    <w:p w14:paraId="1200A7AA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3E2CE8F1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>T4 TSLA Bear Put 390/375</w:t>
      </w:r>
    </w:p>
    <w:p w14:paraId="5BF14AA1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Visión bajista moderada en TSLA con costo acotado.</w:t>
      </w:r>
    </w:p>
    <w:p w14:paraId="52C8DD9A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−11.36 (BBG) contra −11.30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−0.18 / +0.09; vega −0.03 / +0.02; theta 0.01 / 0.00; costo 9.69 D / 7.90 D.</w:t>
      </w:r>
    </w:p>
    <w:p w14:paraId="7EEA31FC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Con TSLA en 367.16 el spread está en su ganancia máxima. El cambio de signo en gamma (−0.18 contra +0.09) se explica porque el </w:t>
      </w:r>
      <w:proofErr w:type="spellStart"/>
      <w:r w:rsidRPr="00BD349B">
        <w:rPr>
          <w:rFonts w:asciiTheme="majorHAnsi" w:hAnsiTheme="majorHAnsi"/>
          <w:lang w:val="es-ES"/>
        </w:rPr>
        <w:t>put</w:t>
      </w:r>
      <w:proofErr w:type="spellEnd"/>
      <w:r w:rsidRPr="00BD349B">
        <w:rPr>
          <w:rFonts w:asciiTheme="majorHAnsi" w:hAnsiTheme="majorHAnsi"/>
          <w:lang w:val="es-ES"/>
        </w:rPr>
        <w:t xml:space="preserve"> vendido de 375 quedó más cerca del dinero.</w:t>
      </w:r>
    </w:p>
    <w:p w14:paraId="798C96F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9AD90AC" wp14:editId="7293F32B">
            <wp:extent cx="4937760" cy="3991482"/>
            <wp:effectExtent l="0" t="0" r="0" b="0"/>
            <wp:docPr id="1455578474" name="T4-1. OVME Pricing: prima y griegas por pata" descr="T4-1. OVME Pricing: prima y griegas por pata" title="T4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7CD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T4-1. OVME Pricing: prima y griegas por pata</w:t>
      </w:r>
    </w:p>
    <w:p w14:paraId="0C2A085E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0E4ACE9" wp14:editId="4FCA3CE3">
            <wp:extent cx="5943600" cy="2422730"/>
            <wp:effectExtent l="0" t="0" r="0" b="0"/>
            <wp:docPr id="850359188" name="T4-2. OVME Scenario: P&amp;L a distintas fechas" descr="T4-2. OVME Scenario: P&amp;L a distintas fechas" title="T4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C3D5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T4-2.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7D58995E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1C8EACEE" wp14:editId="288CDF7C">
            <wp:extent cx="5943600" cy="2410322"/>
            <wp:effectExtent l="0" t="0" r="0" b="0"/>
            <wp:docPr id="106011540" name="T4-3. OVME Matrix: griegas por plazo / precio" descr="T4-3. OVME Matrix: griegas por plazo / precio" title="T4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A6EE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T4-3. OVME Matrix: griegas por plazo / precio</w:t>
      </w:r>
    </w:p>
    <w:p w14:paraId="7310D4F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F66544A" wp14:editId="53BC7638">
            <wp:extent cx="5943600" cy="2343955"/>
            <wp:effectExtent l="0" t="0" r="0" b="0"/>
            <wp:docPr id="1284392184" name="T4-4. OVDV: superficie de volatilidad implícita" descr="T4-4. OVDV: superficie de volatilidad implícita" title="T4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20F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T4-4. OVDV: superficie de volatilidad implícita</w:t>
      </w:r>
    </w:p>
    <w:p w14:paraId="03A6688C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22058626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 xml:space="preserve">T5 TSLA </w:t>
      </w:r>
      <w:proofErr w:type="spellStart"/>
      <w:r w:rsidRPr="00BD349B">
        <w:rPr>
          <w:rFonts w:asciiTheme="majorHAnsi" w:hAnsiTheme="majorHAnsi"/>
          <w:lang w:val="es-ES"/>
        </w:rPr>
        <w:t>Calls</w:t>
      </w:r>
      <w:proofErr w:type="spellEnd"/>
      <w:r w:rsidRPr="00BD349B">
        <w:rPr>
          <w:rFonts w:asciiTheme="majorHAnsi" w:hAnsiTheme="majorHAnsi"/>
          <w:lang w:val="es-ES"/>
        </w:rPr>
        <w:t xml:space="preserve"> 370/380/390 (1×1×1)</w:t>
      </w:r>
    </w:p>
    <w:p w14:paraId="48F817A0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 xml:space="preserve">Diseñada como </w:t>
      </w:r>
      <w:proofErr w:type="spellStart"/>
      <w:r w:rsidRPr="00BD349B">
        <w:rPr>
          <w:rFonts w:asciiTheme="majorHAnsi" w:hAnsiTheme="majorHAnsi"/>
          <w:lang w:val="es-ES"/>
        </w:rPr>
        <w:t>long</w:t>
      </w:r>
      <w:proofErr w:type="spellEnd"/>
      <w:r w:rsidRPr="00BD349B">
        <w:rPr>
          <w:rFonts w:asciiTheme="majorHAnsi" w:hAnsiTheme="majorHAnsi"/>
          <w:lang w:val="es-ES"/>
        </w:rPr>
        <w:t xml:space="preserve"> </w:t>
      </w:r>
      <w:proofErr w:type="spellStart"/>
      <w:r w:rsidRPr="00BD349B">
        <w:rPr>
          <w:rFonts w:asciiTheme="majorHAnsi" w:hAnsiTheme="majorHAnsi"/>
          <w:lang w:val="es-ES"/>
        </w:rPr>
        <w:t>call</w:t>
      </w:r>
      <w:proofErr w:type="spellEnd"/>
      <w:r w:rsidRPr="00BD349B">
        <w:rPr>
          <w:rFonts w:asciiTheme="majorHAnsi" w:hAnsiTheme="majorHAnsi"/>
          <w:lang w:val="es-ES"/>
        </w:rPr>
        <w:t xml:space="preserve"> </w:t>
      </w:r>
      <w:proofErr w:type="spellStart"/>
      <w:r w:rsidRPr="00BD349B">
        <w:rPr>
          <w:rFonts w:asciiTheme="majorHAnsi" w:hAnsiTheme="majorHAnsi"/>
          <w:lang w:val="es-ES"/>
        </w:rPr>
        <w:t>butterfly</w:t>
      </w:r>
      <w:proofErr w:type="spellEnd"/>
      <w:r w:rsidRPr="00BD349B">
        <w:rPr>
          <w:rFonts w:asciiTheme="majorHAnsi" w:hAnsiTheme="majorHAnsi"/>
          <w:lang w:val="es-ES"/>
        </w:rPr>
        <w:t>: ganar si TSLA cierra cerca de 380.</w:t>
      </w:r>
    </w:p>
    <w:p w14:paraId="70AF3B53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44.25 (BBG) contra 55.93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2.78 / 2.63; vega 0.44 / 0.50; theta −0.26 / −0.27; costo 15.86 D / 24.90 D.</w:t>
      </w:r>
    </w:p>
    <w:p w14:paraId="0D83D611" w14:textId="77777777" w:rsidR="00B16CE7" w:rsidRPr="00BD349B" w:rsidRDefault="00000000">
      <w:pPr>
        <w:spacing w:after="120" w:line="276" w:lineRule="auto"/>
        <w:rPr>
          <w:rFonts w:asciiTheme="majorHAnsi" w:hAnsiTheme="majorHAnsi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En OVME se capturó con un solo </w:t>
      </w:r>
      <w:proofErr w:type="spellStart"/>
      <w:r w:rsidRPr="00BD349B">
        <w:rPr>
          <w:rFonts w:asciiTheme="majorHAnsi" w:hAnsiTheme="majorHAnsi"/>
          <w:lang w:val="es-ES"/>
        </w:rPr>
        <w:t>call</w:t>
      </w:r>
      <w:proofErr w:type="spellEnd"/>
      <w:r w:rsidRPr="00BD349B">
        <w:rPr>
          <w:rFonts w:asciiTheme="majorHAnsi" w:hAnsiTheme="majorHAnsi"/>
          <w:lang w:val="es-ES"/>
        </w:rPr>
        <w:t xml:space="preserve"> 380 vendido (1×1×1), por eso la delta es de 44.25 y el </w:t>
      </w:r>
      <w:proofErr w:type="spellStart"/>
      <w:r w:rsidRPr="00BD349B">
        <w:rPr>
          <w:rFonts w:asciiTheme="majorHAnsi" w:hAnsiTheme="majorHAnsi"/>
          <w:lang w:val="es-ES"/>
        </w:rPr>
        <w:t>Scenario</w:t>
      </w:r>
      <w:proofErr w:type="spellEnd"/>
      <w:r w:rsidRPr="00BD349B">
        <w:rPr>
          <w:rFonts w:asciiTheme="majorHAnsi" w:hAnsiTheme="majorHAnsi"/>
          <w:lang w:val="es-ES"/>
        </w:rPr>
        <w:t xml:space="preserve"> no muestra la forma de mariposa. </w:t>
      </w:r>
      <w:r w:rsidRPr="00BD349B">
        <w:rPr>
          <w:rFonts w:asciiTheme="majorHAnsi" w:hAnsiTheme="majorHAnsi"/>
        </w:rPr>
        <w:t xml:space="preserve">La mariposa </w:t>
      </w:r>
      <w:proofErr w:type="spellStart"/>
      <w:r w:rsidRPr="00BD349B">
        <w:rPr>
          <w:rFonts w:asciiTheme="majorHAnsi" w:hAnsiTheme="majorHAnsi"/>
        </w:rPr>
        <w:t>correcta</w:t>
      </w:r>
      <w:proofErr w:type="spellEnd"/>
      <w:r w:rsidRPr="00BD349B">
        <w:rPr>
          <w:rFonts w:asciiTheme="majorHAnsi" w:hAnsiTheme="majorHAnsi"/>
        </w:rPr>
        <w:t xml:space="preserve"> </w:t>
      </w:r>
      <w:proofErr w:type="spellStart"/>
      <w:r w:rsidRPr="00BD349B">
        <w:rPr>
          <w:rFonts w:asciiTheme="majorHAnsi" w:hAnsiTheme="majorHAnsi"/>
        </w:rPr>
        <w:t>vende</w:t>
      </w:r>
      <w:proofErr w:type="spellEnd"/>
      <w:r w:rsidRPr="00BD349B">
        <w:rPr>
          <w:rFonts w:asciiTheme="majorHAnsi" w:hAnsiTheme="majorHAnsi"/>
        </w:rPr>
        <w:t xml:space="preserve"> 2 calls 380.</w:t>
      </w:r>
    </w:p>
    <w:p w14:paraId="15B807D8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0102C4C" wp14:editId="07800CF2">
            <wp:extent cx="4937760" cy="4021109"/>
            <wp:effectExtent l="0" t="0" r="0" b="0"/>
            <wp:docPr id="1667728193" name="T5-1. OVME Pricing: prima y griegas por pata" descr="T5-1. OVME Pricing: prima y griegas por pata" title="T5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AFC0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T5-1. OVME Pricing: prima y griegas por pata</w:t>
      </w:r>
    </w:p>
    <w:p w14:paraId="51904120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67D4F45" wp14:editId="2056E9C5">
            <wp:extent cx="5943600" cy="2429637"/>
            <wp:effectExtent l="0" t="0" r="0" b="0"/>
            <wp:docPr id="1815975403" name="T5-2. OVME Scenario: P&amp;L a distintas fechas" descr="T5-2. OVME Scenario: P&amp;L a distintas fechas" title="T5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4371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T5-2.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186AFF39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4152FAD1" wp14:editId="276CEC02">
            <wp:extent cx="5943600" cy="2585388"/>
            <wp:effectExtent l="0" t="0" r="0" b="0"/>
            <wp:docPr id="1731499471" name="T5-3. OVME Matrix: griegas por plazo / precio" descr="T5-3. OVME Matrix: griegas por plazo / precio" title="T5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F7E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T5-3. OVME Matrix: griegas por plazo / precio</w:t>
      </w:r>
    </w:p>
    <w:p w14:paraId="07AB9290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8A6D887" wp14:editId="53CD77AD">
            <wp:extent cx="5943600" cy="2417105"/>
            <wp:effectExtent l="0" t="0" r="0" b="0"/>
            <wp:docPr id="18045510" name="T5-4. OVDV: superficie de volatilidad implícita" descr="T5-4. OVDV: superficie de volatilidad implícita" title="T5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62A5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T5-4. OVDV: superficie de volatilidad implícita</w:t>
      </w:r>
    </w:p>
    <w:p w14:paraId="2E2F46F5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66C1F7DF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</w:rPr>
      </w:pPr>
      <w:r w:rsidRPr="00BD349B">
        <w:rPr>
          <w:rFonts w:asciiTheme="majorHAnsi" w:hAnsiTheme="majorHAnsi"/>
          <w:color w:val="auto"/>
        </w:rPr>
        <w:lastRenderedPageBreak/>
        <w:t>AMZN</w:t>
      </w:r>
    </w:p>
    <w:p w14:paraId="3A4F222B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t>Z1 AMZN Short Iron Condor 250/255/265/270</w:t>
      </w:r>
    </w:p>
    <w:p w14:paraId="08DEA4A4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Cobrar theta mientras AMZN se mantenga entre 255 y 265.</w:t>
      </w:r>
    </w:p>
    <w:p w14:paraId="605ED2F6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0.80 (BBG) contra −0.10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−0.31 / −0.18; vega −0.02 / −0.02; theta 0.01 / 0.01; costo 3.77 C / 3.70 C.</w:t>
      </w:r>
    </w:p>
    <w:p w14:paraId="30D007BA" w14:textId="77777777" w:rsidR="00B16CE7" w:rsidRPr="00BD349B" w:rsidRDefault="00000000">
      <w:pPr>
        <w:spacing w:after="120" w:line="276" w:lineRule="auto"/>
        <w:rPr>
          <w:rFonts w:asciiTheme="majorHAnsi" w:hAnsiTheme="majorHAnsi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En </w:t>
      </w:r>
      <w:proofErr w:type="spellStart"/>
      <w:r w:rsidRPr="00BD349B">
        <w:rPr>
          <w:rFonts w:asciiTheme="majorHAnsi" w:hAnsiTheme="majorHAnsi"/>
          <w:lang w:val="es-ES"/>
        </w:rPr>
        <w:t>Scenario</w:t>
      </w:r>
      <w:proofErr w:type="spellEnd"/>
      <w:r w:rsidRPr="00BD349B">
        <w:rPr>
          <w:rFonts w:asciiTheme="majorHAnsi" w:hAnsiTheme="majorHAnsi"/>
          <w:lang w:val="es-ES"/>
        </w:rPr>
        <w:t xml:space="preserve"> se ve la meseta de ganancia entre los strikes vendidos y la pérdida limitada por las alas. </w:t>
      </w:r>
      <w:r w:rsidRPr="00BD349B">
        <w:rPr>
          <w:rFonts w:asciiTheme="majorHAnsi" w:hAnsiTheme="majorHAnsi"/>
        </w:rPr>
        <w:t xml:space="preserve">Es </w:t>
      </w:r>
      <w:proofErr w:type="spellStart"/>
      <w:r w:rsidRPr="00BD349B">
        <w:rPr>
          <w:rFonts w:asciiTheme="majorHAnsi" w:hAnsiTheme="majorHAnsi"/>
        </w:rPr>
        <w:t>casi</w:t>
      </w:r>
      <w:proofErr w:type="spellEnd"/>
      <w:r w:rsidRPr="00BD349B">
        <w:rPr>
          <w:rFonts w:asciiTheme="majorHAnsi" w:hAnsiTheme="majorHAnsi"/>
        </w:rPr>
        <w:t xml:space="preserve"> neutral </w:t>
      </w:r>
      <w:proofErr w:type="spellStart"/>
      <w:r w:rsidRPr="00BD349B">
        <w:rPr>
          <w:rFonts w:asciiTheme="majorHAnsi" w:hAnsiTheme="majorHAnsi"/>
        </w:rPr>
        <w:t>en</w:t>
      </w:r>
      <w:proofErr w:type="spellEnd"/>
      <w:r w:rsidRPr="00BD349B">
        <w:rPr>
          <w:rFonts w:asciiTheme="majorHAnsi" w:hAnsiTheme="majorHAnsi"/>
        </w:rPr>
        <w:t xml:space="preserve"> delta y </w:t>
      </w:r>
      <w:proofErr w:type="spellStart"/>
      <w:r w:rsidRPr="00BD349B">
        <w:rPr>
          <w:rFonts w:asciiTheme="majorHAnsi" w:hAnsiTheme="majorHAnsi"/>
        </w:rPr>
        <w:t>vega</w:t>
      </w:r>
      <w:proofErr w:type="spellEnd"/>
      <w:r w:rsidRPr="00BD349B">
        <w:rPr>
          <w:rFonts w:asciiTheme="majorHAnsi" w:hAnsiTheme="majorHAnsi"/>
        </w:rPr>
        <w:t>.</w:t>
      </w:r>
    </w:p>
    <w:p w14:paraId="37C534A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C751060" wp14:editId="0201F544">
            <wp:extent cx="4937760" cy="4057866"/>
            <wp:effectExtent l="0" t="0" r="0" b="0"/>
            <wp:docPr id="419700975" name="Z1-1. OVME Pricing: prima y griegas por pata" descr="Z1-1. OVME Pricing: prima y griegas por pata" title="Z1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9CF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Z1-1. OVME Pricing: prima y griegas por pata</w:t>
      </w:r>
    </w:p>
    <w:p w14:paraId="64CCEB4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02AE2A2" wp14:editId="28452BC9">
            <wp:extent cx="5943600" cy="2512211"/>
            <wp:effectExtent l="0" t="0" r="0" b="0"/>
            <wp:docPr id="593025242" name="Z1-2. OVME Scenario: P&amp;L a distintas fechas" descr="Z1-2. OVME Scenario: P&amp;L a distintas fechas" title="Z1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CF1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Z1-2.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3096BBE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0AD7AB7" wp14:editId="1A4976E7">
            <wp:extent cx="5943600" cy="2404118"/>
            <wp:effectExtent l="0" t="0" r="0" b="0"/>
            <wp:docPr id="1088794394" name="Z1-3. OVME Matrix: griegas por plazo / precio" descr="Z1-3. OVME Matrix: griegas por plazo / precio" title="Z1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83D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Z1-3. OVME Matrix: griegas por plazo / precio</w:t>
      </w:r>
    </w:p>
    <w:p w14:paraId="25336611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F634D25" wp14:editId="6F933F85">
            <wp:extent cx="5943600" cy="2335763"/>
            <wp:effectExtent l="0" t="0" r="0" b="0"/>
            <wp:docPr id="700429631" name="Z1-4. OVDV: superficie de volatilidad implícita" descr="Z1-4. OVDV: superficie de volatilidad implícita" title="Z1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572B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Z1-4. OVDV: superficie de volatilidad implícita</w:t>
      </w:r>
    </w:p>
    <w:p w14:paraId="761FE0EA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4004581C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>Z2 AMZN Bull Put 260/250</w:t>
      </w:r>
    </w:p>
    <w:p w14:paraId="01B5019E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Ligeramente alcista en AMZN cobrando prima.</w:t>
      </w:r>
    </w:p>
    <w:p w14:paraId="180BBCE7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12.74 (BBG) contra 11.80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−0.14 / −0.30; vega −0.01 / −0.03; theta 0.00 / 0.01; costo 5.00 C / 3.90 C.</w:t>
      </w:r>
    </w:p>
    <w:p w14:paraId="155AADBC" w14:textId="77777777" w:rsidR="00B16CE7" w:rsidRPr="00BD349B" w:rsidRDefault="00000000">
      <w:pPr>
        <w:spacing w:after="120" w:line="276" w:lineRule="auto"/>
        <w:rPr>
          <w:rFonts w:asciiTheme="majorHAnsi" w:hAnsiTheme="majorHAnsi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Con AMZN en 254.08 quedó un poco debajo de su </w:t>
      </w:r>
      <w:proofErr w:type="spellStart"/>
      <w:r w:rsidRPr="00BD349B">
        <w:rPr>
          <w:rFonts w:asciiTheme="majorHAnsi" w:hAnsiTheme="majorHAnsi"/>
          <w:lang w:val="es-ES"/>
        </w:rPr>
        <w:t>breakeven</w:t>
      </w:r>
      <w:proofErr w:type="spellEnd"/>
      <w:r w:rsidRPr="00BD349B">
        <w:rPr>
          <w:rFonts w:asciiTheme="majorHAnsi" w:hAnsiTheme="majorHAnsi"/>
          <w:lang w:val="es-ES"/>
        </w:rPr>
        <w:t xml:space="preserve">. </w:t>
      </w:r>
      <w:r w:rsidRPr="00BD349B">
        <w:rPr>
          <w:rFonts w:asciiTheme="majorHAnsi" w:hAnsiTheme="majorHAnsi"/>
        </w:rPr>
        <w:t xml:space="preserve">La delta es </w:t>
      </w:r>
      <w:proofErr w:type="spellStart"/>
      <w:r w:rsidRPr="00BD349B">
        <w:rPr>
          <w:rFonts w:asciiTheme="majorHAnsi" w:hAnsiTheme="majorHAnsi"/>
        </w:rPr>
        <w:t>casi</w:t>
      </w:r>
      <w:proofErr w:type="spellEnd"/>
      <w:r w:rsidRPr="00BD349B">
        <w:rPr>
          <w:rFonts w:asciiTheme="majorHAnsi" w:hAnsiTheme="majorHAnsi"/>
        </w:rPr>
        <w:t xml:space="preserve"> </w:t>
      </w:r>
      <w:proofErr w:type="spellStart"/>
      <w:r w:rsidRPr="00BD349B">
        <w:rPr>
          <w:rFonts w:asciiTheme="majorHAnsi" w:hAnsiTheme="majorHAnsi"/>
        </w:rPr>
        <w:t>igual</w:t>
      </w:r>
      <w:proofErr w:type="spellEnd"/>
      <w:r w:rsidRPr="00BD349B">
        <w:rPr>
          <w:rFonts w:asciiTheme="majorHAnsi" w:hAnsiTheme="majorHAnsi"/>
        </w:rPr>
        <w:t xml:space="preserve"> </w:t>
      </w:r>
      <w:proofErr w:type="spellStart"/>
      <w:r w:rsidRPr="00BD349B">
        <w:rPr>
          <w:rFonts w:asciiTheme="majorHAnsi" w:hAnsiTheme="majorHAnsi"/>
        </w:rPr>
        <w:t>en</w:t>
      </w:r>
      <w:proofErr w:type="spellEnd"/>
      <w:r w:rsidRPr="00BD349B">
        <w:rPr>
          <w:rFonts w:asciiTheme="majorHAnsi" w:hAnsiTheme="majorHAnsi"/>
        </w:rPr>
        <w:t xml:space="preserve"> ambas </w:t>
      </w:r>
      <w:proofErr w:type="spellStart"/>
      <w:r w:rsidRPr="00BD349B">
        <w:rPr>
          <w:rFonts w:asciiTheme="majorHAnsi" w:hAnsiTheme="majorHAnsi"/>
        </w:rPr>
        <w:t>fuentes</w:t>
      </w:r>
      <w:proofErr w:type="spellEnd"/>
      <w:r w:rsidRPr="00BD349B">
        <w:rPr>
          <w:rFonts w:asciiTheme="majorHAnsi" w:hAnsiTheme="majorHAnsi"/>
        </w:rPr>
        <w:t>.</w:t>
      </w:r>
    </w:p>
    <w:p w14:paraId="52C7B82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EF8C6EA" wp14:editId="28F3EF54">
            <wp:extent cx="4937760" cy="4192533"/>
            <wp:effectExtent l="0" t="0" r="0" b="0"/>
            <wp:docPr id="928309450" name="Z2-1. OVME Pricing: prima y griegas por pata" descr="Z2-1. OVME Pricing: prima y griegas por pata" title="Z2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19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56A3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Z2-1. OVME Pricing: prima y griegas por pata</w:t>
      </w:r>
    </w:p>
    <w:p w14:paraId="0F957F36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13127C8" wp14:editId="45CFFB53">
            <wp:extent cx="5943600" cy="2476241"/>
            <wp:effectExtent l="0" t="0" r="0" b="0"/>
            <wp:docPr id="244583235" name="Z2-2. OVME Scenario: P&amp;L a distintas fechas" descr="Z2-2. OVME Scenario: P&amp;L a distintas fechas" title="Z2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05D8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Z2-2.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6773176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56E9668F" wp14:editId="531059C2">
            <wp:extent cx="5943600" cy="2437683"/>
            <wp:effectExtent l="0" t="0" r="0" b="0"/>
            <wp:docPr id="1574309971" name="Z2-3. OVME Matrix: griegas por plazo / precio" descr="Z2-3. OVME Matrix: griegas por plazo / precio" title="Z2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552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Z2-3. OVME Matrix: griegas por plazo / precio</w:t>
      </w:r>
    </w:p>
    <w:p w14:paraId="75AFD23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5505134" wp14:editId="6547F6AE">
            <wp:extent cx="5943600" cy="2343955"/>
            <wp:effectExtent l="0" t="0" r="0" b="0"/>
            <wp:docPr id="196637407" name="Z2-4. OVDV: superficie de volatilidad implícita" descr="Z2-4. OVDV: superficie de volatilidad implícita" title="Z2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722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Z2-4. OVDV: superficie de volatilidad implícita</w:t>
      </w:r>
    </w:p>
    <w:p w14:paraId="78C82AD7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322070DE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>Z3 AMZN Short Iron Butterfly 250/260/270</w:t>
      </w:r>
    </w:p>
    <w:p w14:paraId="2196CABE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busca. </w:t>
      </w:r>
      <w:r w:rsidRPr="00BD349B">
        <w:rPr>
          <w:rFonts w:asciiTheme="majorHAnsi" w:hAnsiTheme="majorHAnsi"/>
          <w:lang w:val="es-ES"/>
        </w:rPr>
        <w:t>Maximizar theta a cambio de un rango de ganancia más estrecho que Z1.</w:t>
      </w:r>
    </w:p>
    <w:p w14:paraId="30ECA98D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1.05 (BBG) contra −0.01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−0.39 / −0.27; vega −0.03 / −0.03; theta 0.01 / 0.01; costo 8.47 C / 8.35 C.</w:t>
      </w:r>
    </w:p>
    <w:p w14:paraId="0231477D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 xml:space="preserve">Cobra más del doble de prima que Z1, pero en </w:t>
      </w:r>
      <w:proofErr w:type="spellStart"/>
      <w:r w:rsidRPr="00BD349B">
        <w:rPr>
          <w:rFonts w:asciiTheme="majorHAnsi" w:hAnsiTheme="majorHAnsi"/>
          <w:lang w:val="es-ES"/>
        </w:rPr>
        <w:t>Scenario</w:t>
      </w:r>
      <w:proofErr w:type="spellEnd"/>
      <w:r w:rsidRPr="00BD349B">
        <w:rPr>
          <w:rFonts w:asciiTheme="majorHAnsi" w:hAnsiTheme="majorHAnsi"/>
          <w:lang w:val="es-ES"/>
        </w:rPr>
        <w:t xml:space="preserve"> el pico de ganancia está concentrado en 260.</w:t>
      </w:r>
    </w:p>
    <w:p w14:paraId="379041E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4CF534C" wp14:editId="70BB352A">
            <wp:extent cx="4937760" cy="3693484"/>
            <wp:effectExtent l="0" t="0" r="0" b="0"/>
            <wp:docPr id="1793902083" name="Z3-1. OVME Pricing: prima y griegas por pata" descr="Z3-1. OVME Pricing: prima y griegas por pata" title="Z3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69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1D4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Z3-1. OVME Pricing: prima y griegas por pata</w:t>
      </w:r>
    </w:p>
    <w:p w14:paraId="2799F069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8F3930D" wp14:editId="135D513D">
            <wp:extent cx="5943600" cy="2466160"/>
            <wp:effectExtent l="0" t="0" r="0" b="0"/>
            <wp:docPr id="1886703893" name="Z3-2. OVME Scenario: P&amp;L a distintas fechas" descr="Z3-2. OVME Scenario: P&amp;L a distintas fechas" title="Z3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B307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Z3-2.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7DE8E6E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7E0239C5" wp14:editId="366F25A4">
            <wp:extent cx="5943600" cy="2352610"/>
            <wp:effectExtent l="0" t="0" r="0" b="0"/>
            <wp:docPr id="1236935769" name="Z3-3. OVME Matrix: griegas por plazo / precio" descr="Z3-3. OVME Matrix: griegas por plazo / precio" title="Z3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6565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Z3-3. OVME Matrix: griegas por plazo / precio</w:t>
      </w:r>
    </w:p>
    <w:p w14:paraId="236EB639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6103CDC8" wp14:editId="69FA5D40">
            <wp:extent cx="5943600" cy="2334654"/>
            <wp:effectExtent l="0" t="0" r="0" b="0"/>
            <wp:docPr id="598399888" name="Z3-4. OVDV: superficie de volatilidad implícita" descr="Z3-4. OVDV: superficie de volatilidad implícita" title="Z3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7D26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Z3-4. OVDV: superficie de volatilidad implícita</w:t>
      </w:r>
    </w:p>
    <w:p w14:paraId="763B0FD7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52DBA0AB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</w:rPr>
      </w:pPr>
      <w:r w:rsidRPr="00BD349B">
        <w:rPr>
          <w:rFonts w:asciiTheme="majorHAnsi" w:hAnsiTheme="majorHAnsi"/>
        </w:rPr>
        <w:lastRenderedPageBreak/>
        <w:t>Z4 AMZN Short Put 255</w:t>
      </w:r>
    </w:p>
    <w:p w14:paraId="4EAF99CF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proofErr w:type="spellStart"/>
      <w:r w:rsidRPr="00BD349B">
        <w:rPr>
          <w:rFonts w:asciiTheme="majorHAnsi" w:hAnsiTheme="majorHAnsi"/>
          <w:b/>
          <w:bCs/>
        </w:rPr>
        <w:t>Qué</w:t>
      </w:r>
      <w:proofErr w:type="spellEnd"/>
      <w:r w:rsidRPr="00BD349B">
        <w:rPr>
          <w:rFonts w:asciiTheme="majorHAnsi" w:hAnsiTheme="majorHAnsi"/>
          <w:b/>
          <w:bCs/>
        </w:rPr>
        <w:t xml:space="preserve"> </w:t>
      </w:r>
      <w:proofErr w:type="spellStart"/>
      <w:r w:rsidRPr="00BD349B">
        <w:rPr>
          <w:rFonts w:asciiTheme="majorHAnsi" w:hAnsiTheme="majorHAnsi"/>
          <w:b/>
          <w:bCs/>
        </w:rPr>
        <w:t>busca</w:t>
      </w:r>
      <w:proofErr w:type="spellEnd"/>
      <w:r w:rsidRPr="00BD349B">
        <w:rPr>
          <w:rFonts w:asciiTheme="majorHAnsi" w:hAnsiTheme="majorHAnsi"/>
          <w:b/>
          <w:bCs/>
        </w:rPr>
        <w:t xml:space="preserve">. </w:t>
      </w:r>
      <w:r w:rsidRPr="00BD349B">
        <w:rPr>
          <w:rFonts w:asciiTheme="majorHAnsi" w:hAnsiTheme="majorHAnsi"/>
          <w:lang w:val="es-ES"/>
        </w:rPr>
        <w:t>Cobrar prima o terminar comprando AMZN a un precio efectivo más bajo.</w:t>
      </w:r>
    </w:p>
    <w:p w14:paraId="41AC844C" w14:textId="77777777" w:rsidR="00B16CE7" w:rsidRPr="00BD349B" w:rsidRDefault="00000000">
      <w:pPr>
        <w:spacing w:after="6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En el comparativo. </w:t>
      </w:r>
      <w:r w:rsidRPr="00BD349B">
        <w:rPr>
          <w:rFonts w:asciiTheme="majorHAnsi" w:hAnsiTheme="majorHAnsi"/>
          <w:lang w:val="es-ES"/>
        </w:rPr>
        <w:t>Delta 47.85 (BBG) contra 37.50 (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>); gamma −3.26 / −2.90; vega −0.32 / −0.34; theta 0.17 / 0.14; costo 12.54 C / 9.15 C.</w:t>
      </w:r>
    </w:p>
    <w:p w14:paraId="125C393E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b/>
          <w:bCs/>
          <w:lang w:val="es-ES"/>
        </w:rPr>
        <w:t xml:space="preserve">Qué ver en las capturas. </w:t>
      </w:r>
      <w:r w:rsidRPr="00BD349B">
        <w:rPr>
          <w:rFonts w:asciiTheme="majorHAnsi" w:hAnsiTheme="majorHAnsi"/>
          <w:lang w:val="es-ES"/>
        </w:rPr>
        <w:t>Es la estrategia de AMZN con más delta (47.85 en Bloomberg), así que es la más expuesta a una caída. En OVDV se ve que la volatilidad de corto plazo está alta por el reporte de fin de octubre.</w:t>
      </w:r>
    </w:p>
    <w:p w14:paraId="770CCCF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44D85A29" wp14:editId="3B079EAD">
            <wp:extent cx="4937760" cy="2660431"/>
            <wp:effectExtent l="0" t="0" r="0" b="0"/>
            <wp:docPr id="928105378" name="Z4-1. OVME Pricing: prima y griegas por pata" descr="Z4-1. OVME Pricing: prima y griegas por pata" title="Z4-1. OVME Pricing: prima y griegas por p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66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4BC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Z4-1. OVME Pricing: prima y griegas por pata</w:t>
      </w:r>
    </w:p>
    <w:p w14:paraId="3565A003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E5F2D23" wp14:editId="14536CD6">
            <wp:extent cx="5943600" cy="2474693"/>
            <wp:effectExtent l="0" t="0" r="0" b="0"/>
            <wp:docPr id="1500903943" name="Z4-2. OVME Scenario: P&amp;L a distintas fechas" descr="Z4-2. OVME Scenario: P&amp;L a distintas fechas" title="Z4-2. OVME Scenario: P&amp;L a distintas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50D5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Z4-2. OVME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Scenario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P&amp;L a distintas fechas</w:t>
      </w:r>
    </w:p>
    <w:p w14:paraId="3801C8A1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5F830E67" wp14:editId="41CC7C41">
            <wp:extent cx="5943600" cy="2479348"/>
            <wp:effectExtent l="0" t="0" r="0" b="0"/>
            <wp:docPr id="46240535" name="Z4-3. OVME Matrix: griegas por plazo / precio" descr="Z4-3. OVME Matrix: griegas por plazo / precio" title="Z4-3. OVME Matrix: griegas por plazo /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ACBE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Z4-3. OVME Matrix: griegas por plazo / precio</w:t>
      </w:r>
    </w:p>
    <w:p w14:paraId="7841D035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CC7A699" wp14:editId="724F2561">
            <wp:extent cx="5943600" cy="2314157"/>
            <wp:effectExtent l="0" t="0" r="0" b="0"/>
            <wp:docPr id="1327958925" name="Z4-4. OVDV: superficie de volatilidad implícita" descr="Z4-4. OVDV: superficie de volatilidad implícita" title="Z4-4. OVDV: superficie de volatilidad implí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83A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Z4-4. OVDV: superficie de volatilidad implícita</w:t>
      </w:r>
    </w:p>
    <w:p w14:paraId="400F936D" w14:textId="77777777" w:rsidR="00B16CE7" w:rsidRPr="00BD349B" w:rsidRDefault="00000000">
      <w:pPr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br w:type="page"/>
      </w:r>
    </w:p>
    <w:p w14:paraId="30979191" w14:textId="77777777" w:rsidR="00B16CE7" w:rsidRPr="00BD349B" w:rsidRDefault="00000000">
      <w:pPr>
        <w:pStyle w:val="Heading1"/>
        <w:rPr>
          <w:rFonts w:asciiTheme="majorHAnsi" w:hAnsiTheme="majorHAnsi"/>
          <w:color w:val="auto"/>
          <w:lang w:val="es-ES"/>
        </w:rPr>
      </w:pPr>
      <w:r w:rsidRPr="00BD349B">
        <w:rPr>
          <w:rFonts w:asciiTheme="majorHAnsi" w:hAnsiTheme="majorHAnsi"/>
          <w:color w:val="auto"/>
          <w:lang w:val="es-ES"/>
        </w:rPr>
        <w:lastRenderedPageBreak/>
        <w:t xml:space="preserve">Parte B. </w:t>
      </w:r>
      <w:proofErr w:type="spellStart"/>
      <w:r w:rsidRPr="00BD349B">
        <w:rPr>
          <w:rFonts w:asciiTheme="majorHAnsi" w:hAnsiTheme="majorHAnsi"/>
          <w:color w:val="auto"/>
          <w:lang w:val="es-ES"/>
        </w:rPr>
        <w:t>Refinitiv</w:t>
      </w:r>
      <w:proofErr w:type="spellEnd"/>
      <w:r w:rsidRPr="00BD349B">
        <w:rPr>
          <w:rFonts w:asciiTheme="majorHAnsi" w:hAnsiTheme="majorHAnsi"/>
          <w:color w:val="auto"/>
          <w:lang w:val="es-ES"/>
        </w:rPr>
        <w:t xml:space="preserve"> </w:t>
      </w:r>
      <w:proofErr w:type="spellStart"/>
      <w:r w:rsidRPr="00BD349B">
        <w:rPr>
          <w:rFonts w:asciiTheme="majorHAnsi" w:hAnsiTheme="majorHAnsi"/>
          <w:color w:val="auto"/>
          <w:lang w:val="es-ES"/>
        </w:rPr>
        <w:t>Workspace</w:t>
      </w:r>
      <w:proofErr w:type="spellEnd"/>
      <w:r w:rsidRPr="00BD349B">
        <w:rPr>
          <w:rFonts w:asciiTheme="majorHAnsi" w:hAnsiTheme="majorHAnsi"/>
          <w:color w:val="auto"/>
          <w:lang w:val="es-ES"/>
        </w:rPr>
        <w:t xml:space="preserve"> (cierre 9-oct-2026)</w:t>
      </w:r>
    </w:p>
    <w:p w14:paraId="41B840C4" w14:textId="77777777" w:rsidR="00B16CE7" w:rsidRPr="00BD349B" w:rsidRDefault="00000000">
      <w:pPr>
        <w:spacing w:after="120" w:line="276" w:lineRule="auto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Estas capturas alimentan las columnas "</w:t>
      </w:r>
      <w:proofErr w:type="spellStart"/>
      <w:r w:rsidRPr="00BD349B">
        <w:rPr>
          <w:rFonts w:asciiTheme="majorHAnsi" w:hAnsiTheme="majorHAnsi"/>
          <w:lang w:val="es-ES"/>
        </w:rPr>
        <w:t>Ref</w:t>
      </w:r>
      <w:proofErr w:type="spellEnd"/>
      <w:r w:rsidRPr="00BD349B">
        <w:rPr>
          <w:rFonts w:asciiTheme="majorHAnsi" w:hAnsiTheme="majorHAnsi"/>
          <w:lang w:val="es-ES"/>
        </w:rPr>
        <w:t xml:space="preserve">" del comparativo, la tabla "Datos base" (spot y dividendos) y los precios de referencia de "Órdenes para los simuladores". En las cadenas, las columnas </w:t>
      </w:r>
      <w:proofErr w:type="spellStart"/>
      <w:r w:rsidRPr="00BD349B">
        <w:rPr>
          <w:rFonts w:asciiTheme="majorHAnsi" w:hAnsiTheme="majorHAnsi"/>
          <w:lang w:val="es-ES"/>
        </w:rPr>
        <w:t>ImpVol</w:t>
      </w:r>
      <w:proofErr w:type="spellEnd"/>
      <w:r w:rsidRPr="00BD349B">
        <w:rPr>
          <w:rFonts w:asciiTheme="majorHAnsi" w:hAnsiTheme="majorHAnsi"/>
          <w:lang w:val="es-ES"/>
        </w:rPr>
        <w:t xml:space="preserve"> </w:t>
      </w:r>
      <w:proofErr w:type="spellStart"/>
      <w:r w:rsidRPr="00BD349B">
        <w:rPr>
          <w:rFonts w:asciiTheme="majorHAnsi" w:hAnsiTheme="majorHAnsi"/>
          <w:lang w:val="es-ES"/>
        </w:rPr>
        <w:t>Mid</w:t>
      </w:r>
      <w:proofErr w:type="spellEnd"/>
      <w:r w:rsidRPr="00BD349B">
        <w:rPr>
          <w:rFonts w:asciiTheme="majorHAnsi" w:hAnsiTheme="majorHAnsi"/>
          <w:lang w:val="es-ES"/>
        </w:rPr>
        <w:t xml:space="preserve"> y Delta </w:t>
      </w:r>
      <w:proofErr w:type="spellStart"/>
      <w:r w:rsidRPr="00BD349B">
        <w:rPr>
          <w:rFonts w:asciiTheme="majorHAnsi" w:hAnsiTheme="majorHAnsi"/>
          <w:lang w:val="es-ES"/>
        </w:rPr>
        <w:t>Mid</w:t>
      </w:r>
      <w:proofErr w:type="spellEnd"/>
      <w:r w:rsidRPr="00BD349B">
        <w:rPr>
          <w:rFonts w:asciiTheme="majorHAnsi" w:hAnsiTheme="majorHAnsi"/>
          <w:lang w:val="es-ES"/>
        </w:rPr>
        <w:t xml:space="preserve"> son las que se compararon contra Bloomberg; gamma, vega y theta de </w:t>
      </w:r>
      <w:proofErr w:type="spellStart"/>
      <w:r w:rsidRPr="00BD349B">
        <w:rPr>
          <w:rFonts w:asciiTheme="majorHAnsi" w:hAnsiTheme="majorHAnsi"/>
          <w:lang w:val="es-ES"/>
        </w:rPr>
        <w:t>Refinitiv</w:t>
      </w:r>
      <w:proofErr w:type="spellEnd"/>
      <w:r w:rsidRPr="00BD349B">
        <w:rPr>
          <w:rFonts w:asciiTheme="majorHAnsi" w:hAnsiTheme="majorHAnsi"/>
          <w:lang w:val="es-ES"/>
        </w:rPr>
        <w:t xml:space="preserve"> se calcularon con Black-Scholes a partir de esa volatilidad.</w:t>
      </w:r>
    </w:p>
    <w:p w14:paraId="549977EB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  <w:lang w:val="es-ES"/>
        </w:rPr>
      </w:pPr>
      <w:r w:rsidRPr="00BD349B">
        <w:rPr>
          <w:rFonts w:asciiTheme="majorHAnsi" w:hAnsiTheme="majorHAnsi"/>
          <w:color w:val="auto"/>
          <w:lang w:val="es-ES"/>
        </w:rPr>
        <w:t>Precio spot (tabla "Datos base")</w:t>
      </w:r>
    </w:p>
    <w:p w14:paraId="1E9A4E9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6159E65C" wp14:editId="50E73575">
            <wp:extent cx="5943600" cy="1662931"/>
            <wp:effectExtent l="0" t="0" r="0" b="0"/>
            <wp:docPr id="1064925944" name="R-1. AAPL.O Price History: cierre 9-oct 336.64" descr="R-1. AAPL.O Price History: cierre 9-oct 336.64" title="R-1. AAPL.O Price History: cierre 9-oct 336.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8127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R-1. AAPL.O Price History: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cierre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 xml:space="preserve"> 9-oct 336.64</w:t>
      </w:r>
    </w:p>
    <w:p w14:paraId="7A557DC5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0FAA1C5" wp14:editId="3A1CDB5B">
            <wp:extent cx="5943600" cy="1616497"/>
            <wp:effectExtent l="0" t="0" r="0" b="0"/>
            <wp:docPr id="1977010683" name="R-2. NVDA.O Price History: cierre 9-oct 229.28" descr="R-2. NVDA.O Price History: cierre 9-oct 229.28" title="R-2. NVDA.O Price History: cierre 9-oct 229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EF25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R-2. NVDA.O Price History: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cierre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 xml:space="preserve"> 9-oct 229.28</w:t>
      </w:r>
    </w:p>
    <w:p w14:paraId="36D12C98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0181545" wp14:editId="36F49810">
            <wp:extent cx="5943600" cy="1599084"/>
            <wp:effectExtent l="0" t="0" r="0" b="0"/>
            <wp:docPr id="1160340762" name="R-3. TSLA.O Price History: cierre 9-oct 382.70" descr="R-3. TSLA.O Price History: cierre 9-oct 382.70" title="R-3. TSLA.O Price History: cierre 9-oct 382.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8802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R-3. TSLA.O Price History: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cierre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 xml:space="preserve"> 9-oct 382.70</w:t>
      </w:r>
    </w:p>
    <w:p w14:paraId="09765E7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607A66CB" wp14:editId="52C65E13">
            <wp:extent cx="5943600" cy="1596182"/>
            <wp:effectExtent l="0" t="0" r="0" b="0"/>
            <wp:docPr id="1002055490" name="R-4. AMZN.O Price History: cierre 9-oct 262.43" descr="R-4. AMZN.O Price History: cierre 9-oct 262.43" title="R-4. AMZN.O Price History: cierre 9-oct 262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B561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R-4. AMZN.O Price History: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cierre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 xml:space="preserve"> 9-oct 262.43</w:t>
      </w:r>
    </w:p>
    <w:p w14:paraId="71C4FBEA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F13E110" wp14:editId="58ADD457">
            <wp:extent cx="5943600" cy="1610692"/>
            <wp:effectExtent l="0" t="0" r="0" b="0"/>
            <wp:docPr id="462234151" name="R-5. META.O Price History: cierre 9-oct 718.67" descr="R-5. META.O Price History: cierre 9-oct 718.67" title="R-5. META.O Price History: cierre 9-oct 718.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2A42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R-5. META.O Price History: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cierre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 xml:space="preserve"> 9-oct 718.67</w:t>
      </w:r>
    </w:p>
    <w:p w14:paraId="20BEEF55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  <w:lang w:val="es-ES"/>
        </w:rPr>
      </w:pPr>
      <w:r w:rsidRPr="00BD349B">
        <w:rPr>
          <w:rFonts w:asciiTheme="majorHAnsi" w:hAnsiTheme="majorHAnsi"/>
          <w:color w:val="auto"/>
          <w:lang w:val="es-ES"/>
        </w:rPr>
        <w:t>Rendimiento por dividendo (tabla "Datos base")</w:t>
      </w:r>
    </w:p>
    <w:p w14:paraId="57F0630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1FB7E9EB" wp14:editId="6D95ADD1">
            <wp:extent cx="5943600" cy="1593130"/>
            <wp:effectExtent l="0" t="0" r="0" b="0"/>
            <wp:docPr id="69298055" name="R-6. AAPL.O FOV: dividend yield" descr="R-6. AAPL.O FOV: dividend yield" title="R-6. AAPL.O FOV: dividend y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B507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R-6. AAPL.O FOV: dividend yield</w:t>
      </w:r>
    </w:p>
    <w:p w14:paraId="0171961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23A15C7" wp14:editId="296227AB">
            <wp:extent cx="5943600" cy="2328225"/>
            <wp:effectExtent l="0" t="0" r="0" b="0"/>
            <wp:docPr id="850005376" name="R-7. META.O FOV: dividend yield" descr="R-7. META.O FOV: dividend yield" title="R-7. META.O FOV: dividend y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2A25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R-7. META.O FOV: dividend yield</w:t>
      </w:r>
    </w:p>
    <w:p w14:paraId="2B38C614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  <w:lang w:val="es-ES"/>
        </w:rPr>
      </w:pPr>
      <w:r w:rsidRPr="00BD349B">
        <w:rPr>
          <w:rFonts w:asciiTheme="majorHAnsi" w:hAnsiTheme="majorHAnsi"/>
          <w:color w:val="auto"/>
          <w:lang w:val="es-ES"/>
        </w:rPr>
        <w:t>Cadenas de opciones (tablas "Volatilidad implícita" y "</w:t>
      </w:r>
      <w:proofErr w:type="gramStart"/>
      <w:r w:rsidRPr="00BD349B">
        <w:rPr>
          <w:rFonts w:asciiTheme="majorHAnsi" w:hAnsiTheme="majorHAnsi"/>
          <w:color w:val="auto"/>
          <w:lang w:val="es-ES"/>
        </w:rPr>
        <w:t>Griegas</w:t>
      </w:r>
      <w:proofErr w:type="gramEnd"/>
      <w:r w:rsidRPr="00BD349B">
        <w:rPr>
          <w:rFonts w:asciiTheme="majorHAnsi" w:hAnsiTheme="majorHAnsi"/>
          <w:color w:val="auto"/>
          <w:lang w:val="es-ES"/>
        </w:rPr>
        <w:t xml:space="preserve"> por estrategia")</w:t>
      </w:r>
    </w:p>
    <w:p w14:paraId="3C13BD37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lastRenderedPageBreak/>
        <w:t>AAPL — 20 de noviembre (A4, A5)</w:t>
      </w:r>
    </w:p>
    <w:p w14:paraId="5C4EB98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598A3B0" wp14:editId="3BCC653D">
            <wp:extent cx="5943600" cy="3161489"/>
            <wp:effectExtent l="0" t="0" r="0" b="0"/>
            <wp:docPr id="706135130" name="R-8. AAPL 20-nov" descr="R-8. AAPL 20-nov" title="R-8. AAPL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3681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R-8. AAPL 20-nov</w:t>
      </w:r>
    </w:p>
    <w:p w14:paraId="2204DC5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B54A7E2" wp14:editId="69B950F5">
            <wp:extent cx="5943600" cy="2322881"/>
            <wp:effectExtent l="0" t="0" r="0" b="0"/>
            <wp:docPr id="115037172" name="R-9. AAPL 20-nov" descr="R-9. AAPL 20-nov" title="R-9. AAPL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AC09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R-9. AAPL 20-nov</w:t>
      </w:r>
    </w:p>
    <w:p w14:paraId="5C829D59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TSLA — 16 de octubre (T1, T3 pata corta)</w:t>
      </w:r>
    </w:p>
    <w:p w14:paraId="19DB557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563A844" wp14:editId="5B3AE356">
            <wp:extent cx="5943600" cy="3668500"/>
            <wp:effectExtent l="0" t="0" r="0" b="0"/>
            <wp:docPr id="1194425257" name="R-10. TSLA 16-oct" descr="R-10. TSLA 16-oct" title="R-10. TSLA 16-o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ADC6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R-10. TSLA 16-oct</w:t>
      </w:r>
    </w:p>
    <w:p w14:paraId="53F6471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D3041A4" wp14:editId="3F5323E5">
            <wp:extent cx="5943600" cy="2255311"/>
            <wp:effectExtent l="0" t="0" r="0" b="0"/>
            <wp:docPr id="1294086259" name="R-11. TSLA 16-oct" descr="R-11. TSLA 16-oct" title="R-11. TSLA 16-o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261B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R-11. TSLA 16-oct</w:t>
      </w:r>
    </w:p>
    <w:p w14:paraId="154CB11A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TSLA — 20 de noviembre (T4, T5)</w:t>
      </w:r>
    </w:p>
    <w:p w14:paraId="3A32FD60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7394D0A5" wp14:editId="2F153C95">
            <wp:extent cx="5943600" cy="3703868"/>
            <wp:effectExtent l="0" t="0" r="0" b="0"/>
            <wp:docPr id="1932889820" name="R-12. TSLA 20-nov" descr="R-12. TSLA 20-nov" title="R-12. TSLA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17ED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R-12. TSLA 20-nov</w:t>
      </w:r>
    </w:p>
    <w:p w14:paraId="16B5C6F3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CC1F6AB" wp14:editId="1820F675">
            <wp:extent cx="5943600" cy="2377440"/>
            <wp:effectExtent l="0" t="0" r="0" b="0"/>
            <wp:docPr id="2028274969" name="R-13. TSLA 20-nov" descr="R-13. TSLA 20-nov" title="R-13. TSLA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28A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R-13. TSLA 20-nov</w:t>
      </w:r>
    </w:p>
    <w:p w14:paraId="0C8B4ADE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TSLA — 18 de diciembre (T2, T3 pata larga)</w:t>
      </w:r>
    </w:p>
    <w:p w14:paraId="56C3EE3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439BB567" wp14:editId="478B1486">
            <wp:extent cx="5943600" cy="3797300"/>
            <wp:effectExtent l="0" t="0" r="0" b="0"/>
            <wp:docPr id="1808458081" name="R-14. TSLA 18-dic" descr="R-14. TSLA 18-dic" title="R-14. TSLA 18-d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2CA3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R-14. TSLA 18-dic</w:t>
      </w:r>
    </w:p>
    <w:p w14:paraId="5D3B4AB2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D9F25EE" wp14:editId="1D7EFFB8">
            <wp:extent cx="5943600" cy="2356529"/>
            <wp:effectExtent l="0" t="0" r="0" b="0"/>
            <wp:docPr id="1809154875" name="R-15. TSLA 18-dic" descr="R-15. TSLA 18-dic" title="R-15. TSLA 18-d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7491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R-15. TSLA 18-dic</w:t>
      </w:r>
    </w:p>
    <w:p w14:paraId="075DB9B8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NVDA — 20 de noviembre (N1, N2)</w:t>
      </w:r>
    </w:p>
    <w:p w14:paraId="31AA6F8F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2C24EAAB" wp14:editId="1F4B7E23">
            <wp:extent cx="5943600" cy="3709817"/>
            <wp:effectExtent l="0" t="0" r="0" b="0"/>
            <wp:docPr id="1273337591" name="R-16. NVDA 20-nov" descr="R-16. NVDA 20-nov" title="R-16. NVDA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7EC3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R-16. NVDA 20-nov</w:t>
      </w:r>
    </w:p>
    <w:p w14:paraId="2CB9F96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E32BA4A" wp14:editId="6B217DD9">
            <wp:extent cx="5943600" cy="2390449"/>
            <wp:effectExtent l="0" t="0" r="0" b="0"/>
            <wp:docPr id="546768016" name="R-17. NVDA 20-nov" descr="R-17. NVDA 20-nov" title="R-17. NVDA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845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R-17. NVDA 20-nov</w:t>
      </w:r>
    </w:p>
    <w:p w14:paraId="76BCE5B5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NVDA — 18 de diciembre (N3, N4 en el diseño original)</w:t>
      </w:r>
    </w:p>
    <w:p w14:paraId="47C54FC2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7EE5ED48" wp14:editId="55CCE24F">
            <wp:extent cx="5943600" cy="3735306"/>
            <wp:effectExtent l="0" t="0" r="0" b="0"/>
            <wp:docPr id="296762119" name="R-18. NVDA 18-dic" descr="R-18. NVDA 18-dic" title="R-18. NVDA 18-d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9AD1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R-18. NVDA 18-dic</w:t>
      </w:r>
    </w:p>
    <w:p w14:paraId="27ED3FD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012D3FB" wp14:editId="5D5B1182">
            <wp:extent cx="5943600" cy="2120462"/>
            <wp:effectExtent l="0" t="0" r="0" b="0"/>
            <wp:docPr id="1976273539" name="R-19. NVDA 18-dic" descr="R-19. NVDA 18-dic" title="R-19. NVDA 18-d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9F2E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R-19. NVDA 18-dic</w:t>
      </w:r>
    </w:p>
    <w:p w14:paraId="466293C2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AMZN — 20 de noviembre (Z1 a Z4)</w:t>
      </w:r>
    </w:p>
    <w:p w14:paraId="4ECB5078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9BB9374" wp14:editId="7C1479D7">
            <wp:extent cx="5943600" cy="3743439"/>
            <wp:effectExtent l="0" t="0" r="0" b="0"/>
            <wp:docPr id="674898686" name="R-20. AMZN 20-nov" descr="R-20. AMZN 20-nov" title="R-20. AMZN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E103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R-20. AMZN 20-nov</w:t>
      </w:r>
    </w:p>
    <w:p w14:paraId="2FF70CA1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8932FDB" wp14:editId="019FBD0E">
            <wp:extent cx="5943600" cy="2251725"/>
            <wp:effectExtent l="0" t="0" r="0" b="0"/>
            <wp:docPr id="289805262" name="R-21. AMZN 20-nov" descr="R-21. AMZN 20-nov" title="R-21. AMZN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3C7A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R-21. AMZN 20-nov</w:t>
      </w:r>
    </w:p>
    <w:p w14:paraId="7198F2CD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META — 30 de octubre (M1, M2, M3 pata corta)</w:t>
      </w:r>
    </w:p>
    <w:p w14:paraId="13A7A48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6824630D" wp14:editId="56F8E6EE">
            <wp:extent cx="5943600" cy="3738461"/>
            <wp:effectExtent l="0" t="0" r="0" b="0"/>
            <wp:docPr id="912612204" name="R-22. META 30-oct" descr="R-22. META 30-oct" title="R-22. META 30-o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754A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R-22. META 30-oct</w:t>
      </w:r>
    </w:p>
    <w:p w14:paraId="0C8056FA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5C00B69" wp14:editId="5382718B">
            <wp:extent cx="5943600" cy="2546110"/>
            <wp:effectExtent l="0" t="0" r="0" b="0"/>
            <wp:docPr id="484213823" name="R-23. META 30-oct" descr="R-23. META 30-oct" title="R-23. META 30-o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660D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R-23. META 30-oct</w:t>
      </w:r>
    </w:p>
    <w:p w14:paraId="2878C12A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META — 20 de noviembre (M4 pata corta, M5)</w:t>
      </w:r>
    </w:p>
    <w:p w14:paraId="3B9723D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4E4AB664" wp14:editId="2343EC74">
            <wp:extent cx="5943600" cy="3658808"/>
            <wp:effectExtent l="0" t="0" r="0" b="0"/>
            <wp:docPr id="2126346734" name="R-24. META 20-nov" descr="R-24. META 20-nov" title="R-24. META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3F01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R-24. META 20-nov</w:t>
      </w:r>
    </w:p>
    <w:p w14:paraId="11EBCBAE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FD2D49C" wp14:editId="563366E5">
            <wp:extent cx="5943600" cy="2269228"/>
            <wp:effectExtent l="0" t="0" r="0" b="0"/>
            <wp:docPr id="189325186" name="R-25. META 20-nov" descr="R-25. META 20-nov" title="R-25. META 20-n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7C2C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R-25. META 20-nov</w:t>
      </w:r>
    </w:p>
    <w:p w14:paraId="54357308" w14:textId="77777777" w:rsidR="00B16CE7" w:rsidRPr="00BD349B" w:rsidRDefault="00000000">
      <w:pPr>
        <w:pStyle w:val="Heading3"/>
        <w:spacing w:before="200" w:after="120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lang w:val="es-ES"/>
        </w:rPr>
        <w:t>META — 18 de diciembre (patas largas de M1 a M4)</w:t>
      </w:r>
    </w:p>
    <w:p w14:paraId="218AEBF3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CFF53B5" wp14:editId="3A3B0B8A">
            <wp:extent cx="5943600" cy="3725603"/>
            <wp:effectExtent l="0" t="0" r="0" b="0"/>
            <wp:docPr id="1175530358" name="R-26. META 18-dic" descr="R-26. META 18-dic" title="R-26. META 18-d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8E49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>R-26. META 18-dic</w:t>
      </w:r>
    </w:p>
    <w:p w14:paraId="03816B8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6367D3C" wp14:editId="736F20F0">
            <wp:extent cx="5943600" cy="2180397"/>
            <wp:effectExtent l="0" t="0" r="0" b="0"/>
            <wp:docPr id="1749375150" name="R-27. META 18-dic" descr="R-27. META 18-dic" title="R-27. META 18-d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C7D4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R-27. META 18-dic</w:t>
      </w:r>
    </w:p>
    <w:p w14:paraId="7A2CC2D0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  <w:lang w:val="es-ES"/>
        </w:rPr>
      </w:pPr>
      <w:proofErr w:type="spellStart"/>
      <w:r w:rsidRPr="00BD349B">
        <w:rPr>
          <w:rFonts w:asciiTheme="majorHAnsi" w:hAnsiTheme="majorHAnsi"/>
          <w:color w:val="auto"/>
          <w:lang w:val="es-ES"/>
        </w:rPr>
        <w:t>TradingView</w:t>
      </w:r>
      <w:proofErr w:type="spellEnd"/>
      <w:r w:rsidRPr="00BD349B">
        <w:rPr>
          <w:rFonts w:asciiTheme="majorHAnsi" w:hAnsiTheme="majorHAnsi"/>
          <w:color w:val="auto"/>
          <w:lang w:val="es-ES"/>
        </w:rPr>
        <w:t xml:space="preserve">: cierre del 9-oct (confirma los spots de </w:t>
      </w:r>
      <w:proofErr w:type="spellStart"/>
      <w:r w:rsidRPr="00BD349B">
        <w:rPr>
          <w:rFonts w:asciiTheme="majorHAnsi" w:hAnsiTheme="majorHAnsi"/>
          <w:color w:val="auto"/>
          <w:lang w:val="es-ES"/>
        </w:rPr>
        <w:t>Refinitiv</w:t>
      </w:r>
      <w:proofErr w:type="spellEnd"/>
      <w:r w:rsidRPr="00BD349B">
        <w:rPr>
          <w:rFonts w:asciiTheme="majorHAnsi" w:hAnsiTheme="majorHAnsi"/>
          <w:color w:val="auto"/>
          <w:lang w:val="es-ES"/>
        </w:rPr>
        <w:t>)</w:t>
      </w:r>
    </w:p>
    <w:p w14:paraId="223AAB9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94F9598" wp14:editId="4D2AAC2E">
            <wp:extent cx="5943600" cy="2402979"/>
            <wp:effectExtent l="0" t="0" r="0" b="0"/>
            <wp:docPr id="1936421001" name="R-28. TradingView: AAPL 336.64" descr="R-28. TradingView: AAPL 336.64" title="R-28. TradingView: AAPL 336.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57DD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R-28.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TradingView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AAPL 336.64</w:t>
      </w:r>
    </w:p>
    <w:p w14:paraId="1CF58B1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791C30E2" wp14:editId="498C3594">
            <wp:extent cx="5943600" cy="2437805"/>
            <wp:effectExtent l="0" t="0" r="0" b="0"/>
            <wp:docPr id="465755282" name="R-29. TradingView: META 718.67" descr="R-29. TradingView: META 718.67" title="R-29. TradingView: META 718.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7223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R-29.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TradingView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META 718.67</w:t>
      </w:r>
    </w:p>
    <w:p w14:paraId="2DB56EB3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22F042C3" wp14:editId="763DFE11">
            <wp:extent cx="5943600" cy="2681585"/>
            <wp:effectExtent l="0" t="0" r="0" b="0"/>
            <wp:docPr id="1143291653" name="R-30. TradingView: TSLA 382.70" descr="R-30. TradingView: TSLA 382.70" title="R-30. TradingView: TSLA 382.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9588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R-30.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TradingView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TSLA 382.70</w:t>
      </w:r>
    </w:p>
    <w:p w14:paraId="41C94757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4348BA1A" wp14:editId="58184EE3">
            <wp:extent cx="5943600" cy="2629346"/>
            <wp:effectExtent l="0" t="0" r="0" b="0"/>
            <wp:docPr id="774136381" name="R-31. TradingView: NVDA 229.28" descr="R-31. TradingView: NVDA 229.28" title="R-31. TradingView: NVDA 229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B2A4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R-31.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TradingView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NVDA 229.28</w:t>
      </w:r>
    </w:p>
    <w:p w14:paraId="054C15D9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37973355" wp14:editId="3E9907B0">
            <wp:extent cx="5943600" cy="2646759"/>
            <wp:effectExtent l="0" t="0" r="0" b="0"/>
            <wp:docPr id="1257424622" name="R-32. TradingView: AMZN 262.43" descr="R-32. TradingView: AMZN 262.43" title="R-32. TradingView: AMZN 262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D842" w14:textId="77777777" w:rsidR="00B16CE7" w:rsidRPr="00BD349B" w:rsidRDefault="00000000">
      <w:pPr>
        <w:spacing w:after="160"/>
        <w:jc w:val="center"/>
        <w:rPr>
          <w:rFonts w:asciiTheme="majorHAnsi" w:hAnsiTheme="majorHAnsi"/>
          <w:lang w:val="es-ES"/>
        </w:rPr>
      </w:pPr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 xml:space="preserve">R-32.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TradingView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  <w:lang w:val="es-ES"/>
        </w:rPr>
        <w:t>: AMZN 262.43</w:t>
      </w:r>
    </w:p>
    <w:p w14:paraId="2FEB3F2F" w14:textId="77777777" w:rsidR="00B16CE7" w:rsidRPr="00BD349B" w:rsidRDefault="00000000">
      <w:pPr>
        <w:pStyle w:val="Heading2"/>
        <w:spacing w:after="120"/>
        <w:rPr>
          <w:rFonts w:asciiTheme="majorHAnsi" w:hAnsiTheme="majorHAnsi"/>
          <w:color w:val="auto"/>
          <w:lang w:val="es-ES"/>
        </w:rPr>
      </w:pPr>
      <w:proofErr w:type="spellStart"/>
      <w:r w:rsidRPr="00BD349B">
        <w:rPr>
          <w:rFonts w:asciiTheme="majorHAnsi" w:hAnsiTheme="majorHAnsi"/>
          <w:color w:val="auto"/>
          <w:lang w:val="es-ES"/>
        </w:rPr>
        <w:t>OptionStrat</w:t>
      </w:r>
      <w:proofErr w:type="spellEnd"/>
      <w:r w:rsidRPr="00BD349B">
        <w:rPr>
          <w:rFonts w:asciiTheme="majorHAnsi" w:hAnsiTheme="majorHAnsi"/>
          <w:color w:val="auto"/>
          <w:lang w:val="es-ES"/>
        </w:rPr>
        <w:t>: perfiles de pago usados para validar break-</w:t>
      </w:r>
      <w:proofErr w:type="spellStart"/>
      <w:r w:rsidRPr="00BD349B">
        <w:rPr>
          <w:rFonts w:asciiTheme="majorHAnsi" w:hAnsiTheme="majorHAnsi"/>
          <w:color w:val="auto"/>
          <w:lang w:val="es-ES"/>
        </w:rPr>
        <w:t>evens</w:t>
      </w:r>
      <w:proofErr w:type="spellEnd"/>
    </w:p>
    <w:p w14:paraId="6EE3B46E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FC8D38A" wp14:editId="26681E7D">
            <wp:extent cx="5943600" cy="2011189"/>
            <wp:effectExtent l="0" t="0" r="0" b="0"/>
            <wp:docPr id="1792310389" name="R-33. OptionStrat: bull put spread (Z2)" descr="R-33. OptionStrat: bull put spread (Z2)" title="R-33. OptionStrat: bull put spread (Z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CF4E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R-33.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OptionStrat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bull put spread (Z2)</w:t>
      </w:r>
    </w:p>
    <w:p w14:paraId="4B56BA2D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lastRenderedPageBreak/>
        <w:drawing>
          <wp:inline distT="0" distB="0" distL="0" distR="0" wp14:anchorId="03667496" wp14:editId="0C93436F">
            <wp:extent cx="5943600" cy="2220144"/>
            <wp:effectExtent l="0" t="0" r="0" b="0"/>
            <wp:docPr id="18130059" name="R-34. OptionStrat: protective put" descr="R-34. OptionStrat: protective put" title="R-34. OptionStrat: protective 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3E31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R-34.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OptionStrat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protective put</w:t>
      </w:r>
    </w:p>
    <w:p w14:paraId="512BC294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88EC1DC" wp14:editId="67AFC1CD">
            <wp:extent cx="5943600" cy="1787723"/>
            <wp:effectExtent l="0" t="0" r="0" b="0"/>
            <wp:docPr id="407440944" name="R-35. OptionStrat: straddle (A5, N1, T1, T2)" descr="R-35. OptionStrat: straddle (A5, N1, T1, T2)" title="R-35. OptionStrat: straddle (A5, N1, T1, T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8D5F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R-35.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OptionStrat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straddle (A5, N1, T1, T2)</w:t>
      </w:r>
    </w:p>
    <w:p w14:paraId="734034A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5CAACE1B" wp14:editId="1FB1CC95">
            <wp:extent cx="5943600" cy="1477194"/>
            <wp:effectExtent l="0" t="0" r="0" b="0"/>
            <wp:docPr id="1520087416" name="R-36. OptionStrat: iron condor (Z1)" descr="R-36. OptionStrat: iron condor (Z1)" title="R-36. OptionStrat: iron condor (Z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AF69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R-36.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OptionStrat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>: iron condor (Z1)</w:t>
      </w:r>
    </w:p>
    <w:p w14:paraId="6A230B9C" w14:textId="77777777" w:rsidR="00B16CE7" w:rsidRPr="00BD349B" w:rsidRDefault="00000000">
      <w:pPr>
        <w:keepNext/>
        <w:spacing w:before="60" w:after="3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noProof/>
        </w:rPr>
        <w:drawing>
          <wp:inline distT="0" distB="0" distL="0" distR="0" wp14:anchorId="030243C1" wp14:editId="08EDEB81">
            <wp:extent cx="5943600" cy="1526530"/>
            <wp:effectExtent l="0" t="0" r="0" b="0"/>
            <wp:docPr id="1128264452" name="R-37. OptionStrat: bear put spread (T4)" descr="R-37. OptionStrat: bear put spread (T4)" title="R-37. OptionStrat: bear put spread (T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4FEA" w14:textId="77777777" w:rsidR="00B16CE7" w:rsidRPr="00BD349B" w:rsidRDefault="00000000">
      <w:pPr>
        <w:spacing w:after="160"/>
        <w:jc w:val="center"/>
        <w:rPr>
          <w:rFonts w:asciiTheme="majorHAnsi" w:hAnsiTheme="majorHAnsi"/>
        </w:rPr>
      </w:pPr>
      <w:r w:rsidRPr="00BD349B">
        <w:rPr>
          <w:rFonts w:asciiTheme="majorHAnsi" w:hAnsiTheme="majorHAnsi"/>
          <w:i/>
          <w:iCs/>
          <w:sz w:val="17"/>
          <w:szCs w:val="17"/>
        </w:rPr>
        <w:t xml:space="preserve">R-37. </w:t>
      </w:r>
      <w:proofErr w:type="spellStart"/>
      <w:r w:rsidRPr="00BD349B">
        <w:rPr>
          <w:rFonts w:asciiTheme="majorHAnsi" w:hAnsiTheme="majorHAnsi"/>
          <w:i/>
          <w:iCs/>
          <w:sz w:val="17"/>
          <w:szCs w:val="17"/>
        </w:rPr>
        <w:t>OptionStrat</w:t>
      </w:r>
      <w:proofErr w:type="spellEnd"/>
      <w:r w:rsidRPr="00BD349B">
        <w:rPr>
          <w:rFonts w:asciiTheme="majorHAnsi" w:hAnsiTheme="majorHAnsi"/>
          <w:i/>
          <w:iCs/>
          <w:sz w:val="17"/>
          <w:szCs w:val="17"/>
        </w:rPr>
        <w:t xml:space="preserve">: </w:t>
      </w:r>
      <w:proofErr w:type="gramStart"/>
      <w:r w:rsidRPr="00BD349B">
        <w:rPr>
          <w:rFonts w:asciiTheme="majorHAnsi" w:hAnsiTheme="majorHAnsi"/>
          <w:i/>
          <w:iCs/>
          <w:sz w:val="17"/>
          <w:szCs w:val="17"/>
        </w:rPr>
        <w:t>bear put</w:t>
      </w:r>
      <w:proofErr w:type="gramEnd"/>
      <w:r w:rsidRPr="00BD349B">
        <w:rPr>
          <w:rFonts w:asciiTheme="majorHAnsi" w:hAnsiTheme="majorHAnsi"/>
          <w:i/>
          <w:iCs/>
          <w:sz w:val="17"/>
          <w:szCs w:val="17"/>
        </w:rPr>
        <w:t xml:space="preserve"> spread (T4)</w:t>
      </w:r>
    </w:p>
    <w:sectPr w:rsidR="00B16CE7" w:rsidRPr="00BD349B">
      <w:footerReference w:type="default" r:id="rId12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951C3" w14:textId="77777777" w:rsidR="009654D6" w:rsidRDefault="009654D6">
      <w:r>
        <w:separator/>
      </w:r>
    </w:p>
  </w:endnote>
  <w:endnote w:type="continuationSeparator" w:id="0">
    <w:p w14:paraId="3349398C" w14:textId="77777777" w:rsidR="009654D6" w:rsidRDefault="00965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85D4A" w14:textId="77777777" w:rsidR="00B16CE7" w:rsidRDefault="00000000">
    <w:pPr>
      <w:jc w:val="center"/>
    </w:pPr>
    <w:proofErr w:type="spellStart"/>
    <w:r>
      <w:rPr>
        <w:color w:val="777777"/>
        <w:sz w:val="16"/>
        <w:szCs w:val="16"/>
      </w:rPr>
      <w:t>Productos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Derivados</w:t>
    </w:r>
    <w:proofErr w:type="spellEnd"/>
    <w:r>
      <w:rPr>
        <w:color w:val="777777"/>
        <w:sz w:val="16"/>
        <w:szCs w:val="16"/>
      </w:rPr>
      <w:t xml:space="preserve"> · MAF · </w:t>
    </w:r>
    <w:proofErr w:type="spellStart"/>
    <w:r>
      <w:rPr>
        <w:color w:val="777777"/>
        <w:sz w:val="16"/>
        <w:szCs w:val="16"/>
      </w:rPr>
      <w:t>página</w:t>
    </w:r>
    <w:proofErr w:type="spellEnd"/>
    <w:r>
      <w:rPr>
        <w:color w:val="777777"/>
        <w:sz w:val="16"/>
        <w:szCs w:val="16"/>
      </w:rPr>
      <w:t xml:space="preserve">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BD349B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C1893" w14:textId="77777777" w:rsidR="009654D6" w:rsidRDefault="009654D6">
      <w:r>
        <w:separator/>
      </w:r>
    </w:p>
  </w:footnote>
  <w:footnote w:type="continuationSeparator" w:id="0">
    <w:p w14:paraId="771B5932" w14:textId="77777777" w:rsidR="009654D6" w:rsidRDefault="00965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761A3"/>
    <w:multiLevelType w:val="hybridMultilevel"/>
    <w:tmpl w:val="B73ADF0C"/>
    <w:lvl w:ilvl="0" w:tplc="5B58CB1E">
      <w:start w:val="1"/>
      <w:numFmt w:val="bullet"/>
      <w:lvlText w:val="●"/>
      <w:lvlJc w:val="left"/>
      <w:pPr>
        <w:ind w:left="720" w:hanging="360"/>
      </w:pPr>
    </w:lvl>
    <w:lvl w:ilvl="1" w:tplc="CEF4E5F4">
      <w:start w:val="1"/>
      <w:numFmt w:val="bullet"/>
      <w:lvlText w:val="○"/>
      <w:lvlJc w:val="left"/>
      <w:pPr>
        <w:ind w:left="1440" w:hanging="360"/>
      </w:pPr>
    </w:lvl>
    <w:lvl w:ilvl="2" w:tplc="488EDEAA">
      <w:start w:val="1"/>
      <w:numFmt w:val="bullet"/>
      <w:lvlText w:val="■"/>
      <w:lvlJc w:val="left"/>
      <w:pPr>
        <w:ind w:left="2160" w:hanging="360"/>
      </w:pPr>
    </w:lvl>
    <w:lvl w:ilvl="3" w:tplc="C9BCCCD6">
      <w:start w:val="1"/>
      <w:numFmt w:val="bullet"/>
      <w:lvlText w:val="●"/>
      <w:lvlJc w:val="left"/>
      <w:pPr>
        <w:ind w:left="2880" w:hanging="360"/>
      </w:pPr>
    </w:lvl>
    <w:lvl w:ilvl="4" w:tplc="B018113E">
      <w:start w:val="1"/>
      <w:numFmt w:val="bullet"/>
      <w:lvlText w:val="○"/>
      <w:lvlJc w:val="left"/>
      <w:pPr>
        <w:ind w:left="3600" w:hanging="360"/>
      </w:pPr>
    </w:lvl>
    <w:lvl w:ilvl="5" w:tplc="BA9EDAC2">
      <w:start w:val="1"/>
      <w:numFmt w:val="bullet"/>
      <w:lvlText w:val="■"/>
      <w:lvlJc w:val="left"/>
      <w:pPr>
        <w:ind w:left="4320" w:hanging="360"/>
      </w:pPr>
    </w:lvl>
    <w:lvl w:ilvl="6" w:tplc="BE1012A4">
      <w:start w:val="1"/>
      <w:numFmt w:val="bullet"/>
      <w:lvlText w:val="●"/>
      <w:lvlJc w:val="left"/>
      <w:pPr>
        <w:ind w:left="5040" w:hanging="360"/>
      </w:pPr>
    </w:lvl>
    <w:lvl w:ilvl="7" w:tplc="7E421B0A">
      <w:start w:val="1"/>
      <w:numFmt w:val="bullet"/>
      <w:lvlText w:val="●"/>
      <w:lvlJc w:val="left"/>
      <w:pPr>
        <w:ind w:left="5760" w:hanging="360"/>
      </w:pPr>
    </w:lvl>
    <w:lvl w:ilvl="8" w:tplc="BD4483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095C73"/>
    <w:multiLevelType w:val="hybridMultilevel"/>
    <w:tmpl w:val="07F22660"/>
    <w:lvl w:ilvl="0" w:tplc="92344F4C">
      <w:start w:val="1"/>
      <w:numFmt w:val="bullet"/>
      <w:lvlText w:val="•"/>
      <w:lvlJc w:val="left"/>
      <w:pPr>
        <w:ind w:left="540" w:hanging="270"/>
      </w:pPr>
    </w:lvl>
    <w:lvl w:ilvl="1" w:tplc="9AE4C43C">
      <w:numFmt w:val="decimal"/>
      <w:lvlText w:val=""/>
      <w:lvlJc w:val="left"/>
    </w:lvl>
    <w:lvl w:ilvl="2" w:tplc="E6C48E9C">
      <w:numFmt w:val="decimal"/>
      <w:lvlText w:val=""/>
      <w:lvlJc w:val="left"/>
    </w:lvl>
    <w:lvl w:ilvl="3" w:tplc="83EC5966">
      <w:numFmt w:val="decimal"/>
      <w:lvlText w:val=""/>
      <w:lvlJc w:val="left"/>
    </w:lvl>
    <w:lvl w:ilvl="4" w:tplc="27984936">
      <w:numFmt w:val="decimal"/>
      <w:lvlText w:val=""/>
      <w:lvlJc w:val="left"/>
    </w:lvl>
    <w:lvl w:ilvl="5" w:tplc="1EE486E8">
      <w:numFmt w:val="decimal"/>
      <w:lvlText w:val=""/>
      <w:lvlJc w:val="left"/>
    </w:lvl>
    <w:lvl w:ilvl="6" w:tplc="05EC87F8">
      <w:numFmt w:val="decimal"/>
      <w:lvlText w:val=""/>
      <w:lvlJc w:val="left"/>
    </w:lvl>
    <w:lvl w:ilvl="7" w:tplc="A33CD84E">
      <w:numFmt w:val="decimal"/>
      <w:lvlText w:val=""/>
      <w:lvlJc w:val="left"/>
    </w:lvl>
    <w:lvl w:ilvl="8" w:tplc="DF182886">
      <w:numFmt w:val="decimal"/>
      <w:lvlText w:val=""/>
      <w:lvlJc w:val="left"/>
    </w:lvl>
  </w:abstractNum>
  <w:num w:numId="1" w16cid:durableId="1976252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CE7"/>
    <w:rsid w:val="009654D6"/>
    <w:rsid w:val="00B16CE7"/>
    <w:rsid w:val="00BD349B"/>
    <w:rsid w:val="00DD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ABED"/>
  <w15:docId w15:val="{277BA3AF-7E07-4B78-B6CB-B29FE1E2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B5C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B5C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footer" Target="footer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56</Pages>
  <Words>2308</Words>
  <Characters>13162</Characters>
  <Application>Microsoft Office Word</Application>
  <DocSecurity>0</DocSecurity>
  <Lines>109</Lines>
  <Paragraphs>30</Paragraphs>
  <ScaleCrop>false</ScaleCrop>
  <Company/>
  <LinksUpToDate>false</LinksUpToDate>
  <CharactersWithSpaces>15440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Acosta</cp:lastModifiedBy>
  <cp:revision>2</cp:revision>
  <dcterms:created xsi:type="dcterms:W3CDTF">2026-10-21T02:35:00Z</dcterms:created>
  <dcterms:modified xsi:type="dcterms:W3CDTF">2026-10-21T02:40:00Z</dcterms:modified>
</cp:coreProperties>
</file>