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2F" w:rsidRPr="003D122F" w:rsidRDefault="003D122F" w:rsidP="003D12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gency FB" w:hAnsi="Agency FB" w:cs="Arial"/>
          <w:color w:val="000000"/>
          <w:sz w:val="40"/>
          <w:szCs w:val="40"/>
        </w:rPr>
      </w:pPr>
      <w:r w:rsidRPr="003D122F">
        <w:rPr>
          <w:rStyle w:val="Textoennegrita"/>
          <w:rFonts w:ascii="Agency FB" w:hAnsi="Agency FB" w:cs="Arial"/>
          <w:b w:val="0"/>
          <w:color w:val="000000"/>
          <w:sz w:val="40"/>
          <w:szCs w:val="40"/>
          <w:bdr w:val="none" w:sz="0" w:space="0" w:color="auto" w:frame="1"/>
        </w:rPr>
        <w:t xml:space="preserve">William Knox </w:t>
      </w:r>
      <w:proofErr w:type="spellStart"/>
      <w:proofErr w:type="gramStart"/>
      <w:r w:rsidRPr="003D122F">
        <w:rPr>
          <w:rStyle w:val="Textoennegrita"/>
          <w:rFonts w:ascii="Agency FB" w:hAnsi="Agency FB" w:cs="Arial"/>
          <w:b w:val="0"/>
          <w:color w:val="000000"/>
          <w:sz w:val="40"/>
          <w:szCs w:val="40"/>
          <w:bdr w:val="none" w:sz="0" w:space="0" w:color="auto" w:frame="1"/>
        </w:rPr>
        <w:t>D'Arcy</w:t>
      </w:r>
      <w:proofErr w:type="spellEnd"/>
      <w:r w:rsidRPr="003D122F">
        <w:rPr>
          <w:rFonts w:ascii="Agency FB" w:hAnsi="Agency FB" w:cs="Arial"/>
          <w:color w:val="000000"/>
          <w:sz w:val="40"/>
          <w:szCs w:val="40"/>
        </w:rPr>
        <w:t> ,</w:t>
      </w:r>
      <w:proofErr w:type="gramEnd"/>
      <w:r w:rsidRPr="003D122F">
        <w:rPr>
          <w:rFonts w:ascii="Agency FB" w:hAnsi="Agency FB" w:cs="Arial"/>
          <w:color w:val="000000"/>
          <w:sz w:val="40"/>
          <w:szCs w:val="40"/>
        </w:rPr>
        <w:t xml:space="preserve"> (nacido el 11 de octubre de 1849, </w:t>
      </w:r>
      <w:hyperlink r:id="rId4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 xml:space="preserve">Newton </w:t>
        </w:r>
        <w:proofErr w:type="spellStart"/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Abbot</w:t>
        </w:r>
        <w:proofErr w:type="spellEnd"/>
      </w:hyperlink>
      <w:r w:rsidRPr="003D122F">
        <w:rPr>
          <w:rFonts w:ascii="Agency FB" w:hAnsi="Agency FB" w:cs="Arial"/>
          <w:color w:val="000000"/>
          <w:sz w:val="40"/>
          <w:szCs w:val="40"/>
        </w:rPr>
        <w:t xml:space="preserve"> , </w:t>
      </w:r>
      <w:proofErr w:type="spellStart"/>
      <w:r w:rsidRPr="003D122F">
        <w:rPr>
          <w:rFonts w:ascii="Agency FB" w:hAnsi="Agency FB" w:cs="Arial"/>
          <w:color w:val="000000"/>
          <w:sz w:val="40"/>
          <w:szCs w:val="40"/>
        </w:rPr>
        <w:t>Devonshire</w:t>
      </w:r>
      <w:proofErr w:type="spellEnd"/>
      <w:r w:rsidRPr="003D122F">
        <w:rPr>
          <w:rFonts w:ascii="Agency FB" w:hAnsi="Agency FB" w:cs="Arial"/>
          <w:color w:val="000000"/>
          <w:sz w:val="40"/>
          <w:szCs w:val="40"/>
        </w:rPr>
        <w:t xml:space="preserve">, Ing. - murió el 1 de mayo de 1917, </w:t>
      </w:r>
      <w:proofErr w:type="spellStart"/>
      <w:r w:rsidRPr="003D122F">
        <w:rPr>
          <w:rFonts w:ascii="Agency FB" w:hAnsi="Agency FB" w:cs="Arial"/>
          <w:color w:val="000000"/>
          <w:sz w:val="40"/>
          <w:szCs w:val="40"/>
        </w:rPr>
        <w:t>Stanmore</w:t>
      </w:r>
      <w:proofErr w:type="spellEnd"/>
      <w:r w:rsidRPr="003D122F">
        <w:rPr>
          <w:rFonts w:ascii="Agency FB" w:hAnsi="Agency FB" w:cs="Arial"/>
          <w:color w:val="000000"/>
          <w:sz w:val="40"/>
          <w:szCs w:val="40"/>
        </w:rPr>
        <w:t>, Middlesex [ahora Gran Londres]), empresario inglés que fue el principal fundador de la </w:t>
      </w:r>
      <w:hyperlink r:id="rId5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industria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> petrolera iraní .</w:t>
      </w:r>
    </w:p>
    <w:p w:rsidR="003D122F" w:rsidRPr="003D122F" w:rsidRDefault="003D122F" w:rsidP="003D12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gency FB" w:hAnsi="Agency FB" w:cs="Arial"/>
          <w:color w:val="000000"/>
          <w:sz w:val="40"/>
          <w:szCs w:val="40"/>
        </w:rPr>
      </w:pPr>
      <w:r w:rsidRPr="003D122F">
        <w:rPr>
          <w:rFonts w:ascii="Agency FB" w:hAnsi="Agency FB" w:cs="Arial"/>
          <w:color w:val="000000"/>
          <w:sz w:val="40"/>
          <w:szCs w:val="40"/>
        </w:rPr>
        <w:t xml:space="preserve">De joven, </w:t>
      </w:r>
      <w:proofErr w:type="spellStart"/>
      <w:r w:rsidRPr="003D122F">
        <w:rPr>
          <w:rFonts w:ascii="Agency FB" w:hAnsi="Agency FB" w:cs="Arial"/>
          <w:color w:val="000000"/>
          <w:sz w:val="40"/>
          <w:szCs w:val="40"/>
        </w:rPr>
        <w:t>D'Arcy</w:t>
      </w:r>
      <w:proofErr w:type="spellEnd"/>
      <w:r w:rsidRPr="003D122F">
        <w:rPr>
          <w:rFonts w:ascii="Agency FB" w:hAnsi="Agency FB" w:cs="Arial"/>
          <w:color w:val="000000"/>
          <w:sz w:val="40"/>
          <w:szCs w:val="40"/>
        </w:rPr>
        <w:t xml:space="preserve"> emigró con su padre a </w:t>
      </w:r>
      <w:hyperlink r:id="rId6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Queensland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> , </w:t>
      </w:r>
      <w:hyperlink r:id="rId7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Australia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> , donde entre 1882 y 1889 hizo una fortuna en el campo de oro de </w:t>
      </w:r>
      <w:hyperlink r:id="rId8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Mount Morgan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> . Regresó a Londres y, con la asistencia del gobierno británico, consiguió (en 1901) una </w:t>
      </w:r>
      <w:hyperlink r:id="rId9" w:history="1">
        <w:r w:rsidRPr="003D122F">
          <w:rPr>
            <w:rStyle w:val="Hipervnculo"/>
            <w:rFonts w:ascii="Agency FB" w:hAnsi="Agency FB" w:cs="Arial"/>
            <w:color w:val="000000"/>
            <w:sz w:val="40"/>
            <w:szCs w:val="40"/>
            <w:u w:val="none"/>
          </w:rPr>
          <w:t>concesión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> minera de petróleo por 60 años en </w:t>
      </w:r>
      <w:hyperlink r:id="rId10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Irán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> . El área, más de 500,000 millas cuadradas (1</w:t>
      </w:r>
      <w:proofErr w:type="gramStart"/>
      <w:r w:rsidRPr="003D122F">
        <w:rPr>
          <w:rFonts w:ascii="Agency FB" w:hAnsi="Agency FB" w:cs="Arial"/>
          <w:color w:val="000000"/>
          <w:sz w:val="40"/>
          <w:szCs w:val="40"/>
        </w:rPr>
        <w:t>,300,000</w:t>
      </w:r>
      <w:proofErr w:type="gramEnd"/>
      <w:r w:rsidRPr="003D122F">
        <w:rPr>
          <w:rFonts w:ascii="Agency FB" w:hAnsi="Agency FB" w:cs="Arial"/>
          <w:color w:val="000000"/>
          <w:sz w:val="40"/>
          <w:szCs w:val="40"/>
        </w:rPr>
        <w:t xml:space="preserve"> kilómetros cuadrados), incluía todo el </w:t>
      </w:r>
      <w:bookmarkStart w:id="0" w:name="_GoBack"/>
      <w:bookmarkEnd w:id="0"/>
      <w:r w:rsidRPr="003D122F">
        <w:rPr>
          <w:rFonts w:ascii="Agency FB" w:hAnsi="Agency FB" w:cs="Arial"/>
          <w:color w:val="000000"/>
          <w:sz w:val="40"/>
          <w:szCs w:val="40"/>
        </w:rPr>
        <w:t>país </w:t>
      </w:r>
      <w:hyperlink r:id="rId11" w:history="1">
        <w:r w:rsidRPr="003D122F">
          <w:rPr>
            <w:rStyle w:val="Hipervnculo"/>
            <w:rFonts w:ascii="Agency FB" w:hAnsi="Agency FB" w:cs="Arial"/>
            <w:color w:val="000000"/>
            <w:sz w:val="40"/>
            <w:szCs w:val="40"/>
            <w:u w:val="none"/>
          </w:rPr>
          <w:t>excluyendo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> cinco provincias que limitan con Rusia. El </w:t>
      </w:r>
      <w:hyperlink r:id="rId12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primer golpe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 xml:space="preserve"> de cualquier valor se realizó en mayo de 1908 en el suroeste de Irán y llevó a la formación de </w:t>
      </w:r>
      <w:proofErr w:type="spellStart"/>
      <w:r w:rsidRPr="003D122F">
        <w:rPr>
          <w:rFonts w:ascii="Agency FB" w:hAnsi="Agency FB" w:cs="Arial"/>
          <w:color w:val="000000"/>
          <w:sz w:val="40"/>
          <w:szCs w:val="40"/>
        </w:rPr>
        <w:t>la</w:t>
      </w:r>
      <w:hyperlink r:id="rId13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Anglo-Persian</w:t>
        </w:r>
        <w:proofErr w:type="spellEnd"/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 xml:space="preserve"> </w:t>
        </w:r>
        <w:proofErr w:type="spellStart"/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Oil</w:t>
        </w:r>
        <w:proofErr w:type="spellEnd"/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 xml:space="preserve"> Company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 xml:space="preserve"> en 1909. </w:t>
      </w:r>
      <w:proofErr w:type="spellStart"/>
      <w:r w:rsidRPr="003D122F">
        <w:rPr>
          <w:rFonts w:ascii="Agency FB" w:hAnsi="Agency FB" w:cs="Arial"/>
          <w:color w:val="000000"/>
          <w:sz w:val="40"/>
          <w:szCs w:val="40"/>
        </w:rPr>
        <w:t>D'Arcy</w:t>
      </w:r>
      <w:proofErr w:type="spellEnd"/>
      <w:r w:rsidRPr="003D122F">
        <w:rPr>
          <w:rFonts w:ascii="Agency FB" w:hAnsi="Agency FB" w:cs="Arial"/>
          <w:color w:val="000000"/>
          <w:sz w:val="40"/>
          <w:szCs w:val="40"/>
        </w:rPr>
        <w:t xml:space="preserve"> se retiró del negocio activo inmediatamente después. Como el primer occidental en descubrir el potencial de producción de petróleo de </w:t>
      </w:r>
      <w:hyperlink r:id="rId14" w:history="1">
        <w:r w:rsidRPr="003D122F">
          <w:rPr>
            <w:rStyle w:val="Hipervnculo"/>
            <w:rFonts w:ascii="Agency FB" w:hAnsi="Agency FB" w:cs="Arial"/>
            <w:color w:val="106596"/>
            <w:sz w:val="40"/>
            <w:szCs w:val="40"/>
            <w:u w:val="none"/>
          </w:rPr>
          <w:t>Medio Oriente</w:t>
        </w:r>
      </w:hyperlink>
      <w:r w:rsidRPr="003D122F">
        <w:rPr>
          <w:rFonts w:ascii="Agency FB" w:hAnsi="Agency FB" w:cs="Arial"/>
          <w:color w:val="000000"/>
          <w:sz w:val="40"/>
          <w:szCs w:val="40"/>
        </w:rPr>
        <w:t xml:space="preserve"> , </w:t>
      </w:r>
      <w:proofErr w:type="spellStart"/>
      <w:r w:rsidRPr="003D122F">
        <w:rPr>
          <w:rFonts w:ascii="Agency FB" w:hAnsi="Agency FB" w:cs="Arial"/>
          <w:color w:val="000000"/>
          <w:sz w:val="40"/>
          <w:szCs w:val="40"/>
        </w:rPr>
        <w:t>D'Arcy</w:t>
      </w:r>
      <w:proofErr w:type="spellEnd"/>
      <w:r w:rsidRPr="003D122F">
        <w:rPr>
          <w:rFonts w:ascii="Agency FB" w:hAnsi="Agency FB" w:cs="Arial"/>
          <w:color w:val="000000"/>
          <w:sz w:val="40"/>
          <w:szCs w:val="40"/>
        </w:rPr>
        <w:t xml:space="preserve"> transformó efectivamente la región en un área de interés geopolítico perdurable.</w:t>
      </w:r>
    </w:p>
    <w:p w:rsidR="00D614C6" w:rsidRDefault="00D614C6"/>
    <w:sectPr w:rsidR="00D6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2F"/>
    <w:rsid w:val="003D122F"/>
    <w:rsid w:val="00D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FC201-0067-4F89-9B8C-04A35D4E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D122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1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place/Mount-Morgan" TargetMode="External"/><Relationship Id="rId13" Type="http://schemas.openxmlformats.org/officeDocument/2006/relationships/hyperlink" Target="https://www.britannica.com/topic/BP-PL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place/Australia" TargetMode="External"/><Relationship Id="rId12" Type="http://schemas.openxmlformats.org/officeDocument/2006/relationships/hyperlink" Target="https://www.britannica.com/topic/first-strik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ritannica.com/place/Queensland-state-Australia" TargetMode="External"/><Relationship Id="rId11" Type="http://schemas.openxmlformats.org/officeDocument/2006/relationships/hyperlink" Target="https://www.merriam-webster.com/dictionary/exclusive" TargetMode="External"/><Relationship Id="rId5" Type="http://schemas.openxmlformats.org/officeDocument/2006/relationships/hyperlink" Target="https://www.britannica.com/technology/industr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ritannica.com/place/Iran" TargetMode="External"/><Relationship Id="rId4" Type="http://schemas.openxmlformats.org/officeDocument/2006/relationships/hyperlink" Target="https://www.britannica.com/place/Newton-Abbot" TargetMode="External"/><Relationship Id="rId9" Type="http://schemas.openxmlformats.org/officeDocument/2006/relationships/hyperlink" Target="https://www.merriam-webster.com/dictionary/concession" TargetMode="External"/><Relationship Id="rId14" Type="http://schemas.openxmlformats.org/officeDocument/2006/relationships/hyperlink" Target="https://www.britannica.com/place/Middle-Ea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1488</Characters>
  <Application>Microsoft Office Word</Application>
  <DocSecurity>0</DocSecurity>
  <Lines>12</Lines>
  <Paragraphs>3</Paragraphs>
  <ScaleCrop>false</ScaleCrop>
  <Company>UNAM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3</dc:creator>
  <cp:keywords/>
  <dc:description/>
  <cp:lastModifiedBy>PREPA 3</cp:lastModifiedBy>
  <cp:revision>1</cp:revision>
  <dcterms:created xsi:type="dcterms:W3CDTF">2019-01-10T19:21:00Z</dcterms:created>
  <dcterms:modified xsi:type="dcterms:W3CDTF">2019-01-10T19:22:00Z</dcterms:modified>
</cp:coreProperties>
</file>