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3AD0F" w14:textId="77777777" w:rsidR="00AF495D" w:rsidRPr="00FF73C6" w:rsidRDefault="00AF495D" w:rsidP="00AF495D">
      <w:pPr>
        <w:rPr>
          <w:rFonts w:asciiTheme="minorHAnsi" w:hAnsiTheme="minorHAnsi" w:cstheme="minorHAnsi"/>
        </w:rPr>
      </w:pPr>
    </w:p>
    <w:p w14:paraId="3817B41B" w14:textId="77777777" w:rsidR="005F277D" w:rsidRPr="00FF73C6" w:rsidRDefault="005F277D" w:rsidP="005F277D">
      <w:pPr>
        <w:pStyle w:val="Ttulo"/>
        <w:rPr>
          <w:rFonts w:asciiTheme="minorHAnsi" w:eastAsia="Calibri" w:hAnsiTheme="minorHAnsi" w:cstheme="minorHAnsi"/>
          <w:sz w:val="24"/>
          <w:szCs w:val="24"/>
          <w:lang w:val="pt-PT"/>
        </w:rPr>
      </w:pPr>
      <w:r w:rsidRPr="00FF73C6">
        <w:rPr>
          <w:rFonts w:asciiTheme="minorHAnsi" w:hAnsiTheme="minorHAnsi" w:cstheme="minorHAnsi"/>
          <w:sz w:val="24"/>
          <w:szCs w:val="24"/>
          <w:lang w:val="pt-PT"/>
        </w:rPr>
        <w:t>CONTRATO DE HONORÁRIOS</w:t>
      </w:r>
    </w:p>
    <w:p w14:paraId="0065424F" w14:textId="77777777" w:rsidR="005F277D" w:rsidRPr="00FF73C6" w:rsidRDefault="005F277D" w:rsidP="005F277D">
      <w:pPr>
        <w:jc w:val="both"/>
        <w:rPr>
          <w:rFonts w:asciiTheme="minorHAnsi" w:hAnsiTheme="minorHAnsi" w:cstheme="minorHAnsi"/>
          <w:b/>
          <w:bCs/>
        </w:rPr>
      </w:pPr>
    </w:p>
    <w:p w14:paraId="47AD83A6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66A064ED" w14:textId="77777777" w:rsidR="005F277D" w:rsidRPr="00FF73C6" w:rsidRDefault="005F277D" w:rsidP="005F277D">
      <w:pPr>
        <w:jc w:val="both"/>
        <w:rPr>
          <w:rFonts w:asciiTheme="minorHAnsi" w:hAnsiTheme="minorHAnsi" w:cstheme="minorHAnsi"/>
          <w:b/>
          <w:bCs/>
          <w:i/>
          <w:iCs/>
        </w:rPr>
      </w:pPr>
    </w:p>
    <w:p w14:paraId="324CB65C" w14:textId="39774C7A" w:rsidR="005F277D" w:rsidRPr="00FF73C6" w:rsidRDefault="00C91E85" w:rsidP="005F277D">
      <w:pPr>
        <w:pStyle w:val="NormalWeb"/>
        <w:spacing w:before="0" w:after="0" w:line="360" w:lineRule="auto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b/>
          <w:bCs/>
          <w:i/>
          <w:iCs/>
          <w:lang w:val="pt-BR"/>
        </w:rPr>
        <w:t>GIANI WONDOLINGER DUARTE ANDRADE</w:t>
      </w:r>
      <w:r w:rsidR="00D43ACA" w:rsidRPr="00FF73C6">
        <w:rPr>
          <w:rFonts w:asciiTheme="minorHAnsi" w:hAnsiTheme="minorHAnsi" w:cstheme="minorHAnsi"/>
          <w:b/>
          <w:bCs/>
          <w:i/>
          <w:iCs/>
          <w:lang w:val="pt-BR"/>
        </w:rPr>
        <w:t xml:space="preserve">, </w:t>
      </w:r>
      <w:r w:rsidR="00D43ACA" w:rsidRPr="00FF73C6">
        <w:rPr>
          <w:rFonts w:asciiTheme="minorHAnsi" w:hAnsiTheme="minorHAnsi" w:cstheme="minorHAnsi"/>
          <w:lang w:val="pt-BR"/>
        </w:rPr>
        <w:t>brasileir</w:t>
      </w:r>
      <w:r w:rsidRPr="00FF73C6">
        <w:rPr>
          <w:rFonts w:asciiTheme="minorHAnsi" w:hAnsiTheme="minorHAnsi" w:cstheme="minorHAnsi"/>
          <w:lang w:val="pt-BR"/>
        </w:rPr>
        <w:t>a</w:t>
      </w:r>
      <w:r w:rsidR="00D43ACA" w:rsidRPr="00FF73C6">
        <w:rPr>
          <w:rFonts w:asciiTheme="minorHAnsi" w:hAnsiTheme="minorHAnsi" w:cstheme="minorHAnsi"/>
          <w:lang w:val="pt-BR"/>
        </w:rPr>
        <w:t xml:space="preserve">, </w:t>
      </w:r>
      <w:r w:rsidRPr="00FF73C6">
        <w:rPr>
          <w:rFonts w:asciiTheme="minorHAnsi" w:hAnsiTheme="minorHAnsi" w:cstheme="minorHAnsi"/>
          <w:lang w:val="pt-BR"/>
        </w:rPr>
        <w:t>em união estável</w:t>
      </w:r>
      <w:r w:rsidR="00D43ACA" w:rsidRPr="00FF73C6">
        <w:rPr>
          <w:rFonts w:asciiTheme="minorHAnsi" w:hAnsiTheme="minorHAnsi" w:cstheme="minorHAnsi"/>
          <w:lang w:val="pt-BR"/>
        </w:rPr>
        <w:t>, empresári</w:t>
      </w:r>
      <w:r w:rsidRPr="00FF73C6">
        <w:rPr>
          <w:rFonts w:asciiTheme="minorHAnsi" w:hAnsiTheme="minorHAnsi" w:cstheme="minorHAnsi"/>
          <w:lang w:val="pt-BR"/>
        </w:rPr>
        <w:t>a</w:t>
      </w:r>
      <w:r w:rsidR="00D43ACA" w:rsidRPr="00FF73C6">
        <w:rPr>
          <w:rFonts w:asciiTheme="minorHAnsi" w:hAnsiTheme="minorHAnsi" w:cstheme="minorHAnsi"/>
          <w:lang w:val="pt-BR"/>
        </w:rPr>
        <w:t xml:space="preserve">, </w:t>
      </w:r>
      <w:r w:rsidR="00D43ACA" w:rsidRPr="00FF73C6">
        <w:rPr>
          <w:rFonts w:asciiTheme="minorHAnsi" w:hAnsiTheme="minorHAnsi" w:cstheme="minorHAnsi"/>
        </w:rPr>
        <w:t>portador</w:t>
      </w:r>
      <w:r w:rsidRPr="00FF73C6">
        <w:rPr>
          <w:rFonts w:asciiTheme="minorHAnsi" w:hAnsiTheme="minorHAnsi" w:cstheme="minorHAnsi"/>
        </w:rPr>
        <w:t>a</w:t>
      </w:r>
      <w:r w:rsidR="00D43ACA" w:rsidRPr="00FF73C6">
        <w:rPr>
          <w:rFonts w:asciiTheme="minorHAnsi" w:hAnsiTheme="minorHAnsi" w:cstheme="minorHAnsi"/>
        </w:rPr>
        <w:t xml:space="preserve"> do CPF/MF n</w:t>
      </w:r>
      <w:r w:rsidR="00D43ACA" w:rsidRPr="00FF73C6">
        <w:rPr>
          <w:rFonts w:asciiTheme="minorHAnsi" w:hAnsiTheme="minorHAnsi" w:cstheme="minorHAnsi"/>
          <w:lang w:val="pt-BR"/>
        </w:rPr>
        <w:t xml:space="preserve">º </w:t>
      </w:r>
      <w:r w:rsidRPr="00FF73C6">
        <w:rPr>
          <w:rFonts w:asciiTheme="minorHAnsi" w:hAnsiTheme="minorHAnsi" w:cstheme="minorHAnsi"/>
        </w:rPr>
        <w:t>758950646-04</w:t>
      </w:r>
      <w:r w:rsidR="00D43ACA" w:rsidRPr="00FF73C6">
        <w:rPr>
          <w:rFonts w:asciiTheme="minorHAnsi" w:hAnsiTheme="minorHAnsi" w:cstheme="minorHAnsi"/>
          <w:lang w:val="pt-BR"/>
        </w:rPr>
        <w:t>, identidade n. MG-</w:t>
      </w:r>
      <w:r w:rsidRPr="00FF73C6">
        <w:rPr>
          <w:rFonts w:asciiTheme="minorHAnsi" w:hAnsiTheme="minorHAnsi" w:cstheme="minorHAnsi"/>
          <w:lang w:val="pt-BR"/>
        </w:rPr>
        <w:t>5.016.509</w:t>
      </w:r>
      <w:r w:rsidR="00D43ACA" w:rsidRPr="00FF73C6">
        <w:rPr>
          <w:rFonts w:asciiTheme="minorHAnsi" w:hAnsiTheme="minorHAnsi" w:cstheme="minorHAnsi"/>
          <w:lang w:val="pt-BR"/>
        </w:rPr>
        <w:t xml:space="preserve"> – SSP/MG, residente e domiciliad</w:t>
      </w:r>
      <w:r w:rsidRPr="00FF73C6">
        <w:rPr>
          <w:rFonts w:asciiTheme="minorHAnsi" w:hAnsiTheme="minorHAnsi" w:cstheme="minorHAnsi"/>
          <w:lang w:val="pt-BR"/>
        </w:rPr>
        <w:t>a</w:t>
      </w:r>
      <w:r w:rsidR="00D43ACA" w:rsidRPr="00FF73C6">
        <w:rPr>
          <w:rFonts w:asciiTheme="minorHAnsi" w:hAnsiTheme="minorHAnsi" w:cstheme="minorHAnsi"/>
          <w:lang w:val="pt-BR"/>
        </w:rPr>
        <w:t xml:space="preserve"> na </w:t>
      </w:r>
      <w:r w:rsidRPr="00FF73C6">
        <w:rPr>
          <w:rFonts w:asciiTheme="minorHAnsi" w:hAnsiTheme="minorHAnsi" w:cstheme="minorHAnsi"/>
          <w:lang w:val="pt-BR"/>
        </w:rPr>
        <w:t>Rua Fernando Pessoa</w:t>
      </w:r>
      <w:r w:rsidRPr="00FF73C6">
        <w:rPr>
          <w:rFonts w:asciiTheme="minorHAnsi" w:hAnsiTheme="minorHAnsi" w:cstheme="minorHAnsi"/>
          <w:lang w:val="pt-BR"/>
        </w:rPr>
        <w:t>,</w:t>
      </w:r>
      <w:r w:rsidRPr="00FF73C6">
        <w:rPr>
          <w:rFonts w:asciiTheme="minorHAnsi" w:hAnsiTheme="minorHAnsi" w:cstheme="minorHAnsi"/>
          <w:lang w:val="pt-BR"/>
        </w:rPr>
        <w:t xml:space="preserve"> 17 </w:t>
      </w:r>
      <w:r w:rsidRPr="00FF73C6">
        <w:rPr>
          <w:rFonts w:asciiTheme="minorHAnsi" w:hAnsiTheme="minorHAnsi" w:cstheme="minorHAnsi"/>
          <w:lang w:val="pt-BR"/>
        </w:rPr>
        <w:t>- R</w:t>
      </w:r>
      <w:r w:rsidRPr="00FF73C6">
        <w:rPr>
          <w:rFonts w:asciiTheme="minorHAnsi" w:hAnsiTheme="minorHAnsi" w:cstheme="minorHAnsi"/>
          <w:lang w:val="pt-BR"/>
        </w:rPr>
        <w:t xml:space="preserve">esidencial </w:t>
      </w:r>
      <w:proofErr w:type="spellStart"/>
      <w:r w:rsidRPr="00FF73C6">
        <w:rPr>
          <w:rFonts w:asciiTheme="minorHAnsi" w:hAnsiTheme="minorHAnsi" w:cstheme="minorHAnsi"/>
          <w:lang w:val="pt-BR"/>
        </w:rPr>
        <w:t>G</w:t>
      </w:r>
      <w:r w:rsidRPr="00FF73C6">
        <w:rPr>
          <w:rFonts w:asciiTheme="minorHAnsi" w:hAnsiTheme="minorHAnsi" w:cstheme="minorHAnsi"/>
          <w:lang w:val="pt-BR"/>
        </w:rPr>
        <w:t>ran</w:t>
      </w:r>
      <w:proofErr w:type="spellEnd"/>
      <w:r w:rsidRPr="00FF73C6">
        <w:rPr>
          <w:rFonts w:asciiTheme="minorHAnsi" w:hAnsiTheme="minorHAnsi" w:cstheme="minorHAnsi"/>
          <w:lang w:val="pt-BR"/>
        </w:rPr>
        <w:t xml:space="preserve"> Park </w:t>
      </w:r>
      <w:r w:rsidRPr="00FF73C6">
        <w:rPr>
          <w:rFonts w:asciiTheme="minorHAnsi" w:hAnsiTheme="minorHAnsi" w:cstheme="minorHAnsi"/>
          <w:lang w:val="pt-BR"/>
        </w:rPr>
        <w:t>– Ve</w:t>
      </w:r>
      <w:r w:rsidRPr="00FF73C6">
        <w:rPr>
          <w:rFonts w:asciiTheme="minorHAnsi" w:hAnsiTheme="minorHAnsi" w:cstheme="minorHAnsi"/>
          <w:lang w:val="pt-BR"/>
        </w:rPr>
        <w:t>spasiano</w:t>
      </w:r>
      <w:r w:rsidRPr="00FF73C6">
        <w:rPr>
          <w:rFonts w:asciiTheme="minorHAnsi" w:hAnsiTheme="minorHAnsi" w:cstheme="minorHAnsi"/>
          <w:lang w:val="pt-BR"/>
        </w:rPr>
        <w:t xml:space="preserve"> - </w:t>
      </w:r>
      <w:r w:rsidR="00D43ACA" w:rsidRPr="00FF73C6">
        <w:rPr>
          <w:rFonts w:asciiTheme="minorHAnsi" w:hAnsiTheme="minorHAnsi" w:cstheme="minorHAnsi"/>
          <w:lang w:val="pt-BR"/>
        </w:rPr>
        <w:t xml:space="preserve">CEP: </w:t>
      </w:r>
      <w:r w:rsidRPr="00FF73C6">
        <w:rPr>
          <w:rFonts w:asciiTheme="minorHAnsi" w:hAnsiTheme="minorHAnsi" w:cstheme="minorHAnsi"/>
          <w:lang w:val="pt-BR"/>
        </w:rPr>
        <w:t>33.200-000</w:t>
      </w:r>
      <w:r w:rsidR="005F277D" w:rsidRPr="00FF73C6">
        <w:rPr>
          <w:rFonts w:asciiTheme="minorHAnsi" w:hAnsiTheme="minorHAnsi" w:cstheme="minorHAnsi"/>
        </w:rPr>
        <w:t xml:space="preserve">, de agora em diante denominada </w:t>
      </w:r>
      <w:r w:rsidR="005F277D" w:rsidRPr="00FF73C6">
        <w:rPr>
          <w:rFonts w:asciiTheme="minorHAnsi" w:hAnsiTheme="minorHAnsi" w:cstheme="minorHAnsi"/>
          <w:b/>
          <w:bCs/>
        </w:rPr>
        <w:t>CONTRATANTE</w:t>
      </w:r>
      <w:r w:rsidR="005F277D" w:rsidRPr="00FF73C6">
        <w:rPr>
          <w:rFonts w:asciiTheme="minorHAnsi" w:hAnsiTheme="minorHAnsi" w:cstheme="minorHAnsi"/>
        </w:rPr>
        <w:t xml:space="preserve">, e </w:t>
      </w:r>
      <w:r w:rsidR="005F277D" w:rsidRPr="00FF73C6">
        <w:rPr>
          <w:rFonts w:asciiTheme="minorHAnsi" w:hAnsiTheme="minorHAnsi" w:cstheme="minorHAnsi"/>
          <w:b/>
          <w:bCs/>
          <w:i/>
          <w:iCs/>
        </w:rPr>
        <w:t>PESSOA E DO VAL ADVOCACIA</w:t>
      </w:r>
      <w:r w:rsidR="005F277D" w:rsidRPr="00FF73C6">
        <w:rPr>
          <w:rFonts w:asciiTheme="minorHAnsi" w:hAnsiTheme="minorHAnsi" w:cstheme="minorHAnsi"/>
        </w:rPr>
        <w:t xml:space="preserve">, empresa inscrita no Cadastro Nacional da Pessoa Jurídica - CNPJ/MF sob o nº 09.020.119/0001-09 e na OAB/MG nº 2.422, com sede à rua Gonçalves Dias, nº 874 – 8º andar, bairro Savassi – Belo Horizonte/MG – CEP: 30.140-091, de agora em diante denominado </w:t>
      </w:r>
      <w:r w:rsidR="005F277D" w:rsidRPr="00FF73C6">
        <w:rPr>
          <w:rFonts w:asciiTheme="minorHAnsi" w:hAnsiTheme="minorHAnsi" w:cstheme="minorHAnsi"/>
          <w:b/>
          <w:bCs/>
        </w:rPr>
        <w:t>CONTRATADO</w:t>
      </w:r>
      <w:r w:rsidR="005F277D" w:rsidRPr="00FF73C6">
        <w:rPr>
          <w:rFonts w:asciiTheme="minorHAnsi" w:hAnsiTheme="minorHAnsi" w:cstheme="minorHAnsi"/>
        </w:rPr>
        <w:t>, firmam o presente aditivo contratual mediante as cláusulas e condições seguintes:</w:t>
      </w:r>
    </w:p>
    <w:p w14:paraId="43FCAE3B" w14:textId="77777777" w:rsidR="005F277D" w:rsidRPr="00FF73C6" w:rsidRDefault="005F277D" w:rsidP="005F277D">
      <w:pPr>
        <w:spacing w:line="360" w:lineRule="auto"/>
        <w:jc w:val="both"/>
        <w:rPr>
          <w:rFonts w:asciiTheme="minorHAnsi" w:hAnsiTheme="minorHAnsi" w:cstheme="minorHAnsi"/>
        </w:rPr>
      </w:pPr>
    </w:p>
    <w:p w14:paraId="4FB4D9DC" w14:textId="77777777" w:rsidR="005F277D" w:rsidRPr="00FF73C6" w:rsidRDefault="005F277D" w:rsidP="005F277D">
      <w:pPr>
        <w:pStyle w:val="Ttulo1"/>
        <w:rPr>
          <w:rFonts w:asciiTheme="minorHAnsi" w:eastAsia="Calibri" w:hAnsiTheme="minorHAnsi" w:cstheme="minorHAnsi"/>
          <w:b/>
          <w:bCs/>
          <w:color w:val="auto"/>
          <w:sz w:val="24"/>
          <w:szCs w:val="24"/>
        </w:rPr>
      </w:pPr>
      <w:r w:rsidRPr="00FF73C6">
        <w:rPr>
          <w:rFonts w:asciiTheme="minorHAnsi" w:hAnsiTheme="minorHAnsi" w:cstheme="minorHAnsi"/>
          <w:b/>
          <w:bCs/>
          <w:color w:val="auto"/>
          <w:sz w:val="24"/>
          <w:szCs w:val="24"/>
        </w:rPr>
        <w:t>Cláusula primeira – DO OBJETO</w:t>
      </w:r>
    </w:p>
    <w:p w14:paraId="6816B140" w14:textId="77777777" w:rsidR="005F277D" w:rsidRPr="00FF73C6" w:rsidRDefault="005F277D" w:rsidP="005F277D">
      <w:pPr>
        <w:jc w:val="center"/>
        <w:rPr>
          <w:rFonts w:asciiTheme="minorHAnsi" w:hAnsiTheme="minorHAnsi" w:cstheme="minorHAnsi"/>
        </w:rPr>
      </w:pPr>
    </w:p>
    <w:p w14:paraId="436FCA69" w14:textId="77777777" w:rsidR="00CC297A" w:rsidRPr="00FF73C6" w:rsidRDefault="005F277D" w:rsidP="00CC297A">
      <w:pPr>
        <w:pStyle w:val="NormalWeb"/>
        <w:numPr>
          <w:ilvl w:val="1"/>
          <w:numId w:val="4"/>
        </w:numPr>
        <w:ind w:left="0" w:firstLine="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O objeto deste contrato destina-se a realização de serviços jurídicos, em especial para prestação de assessoria jurídica em nome do </w:t>
      </w:r>
      <w:r w:rsidRPr="00FF73C6">
        <w:rPr>
          <w:rFonts w:asciiTheme="minorHAnsi" w:hAnsiTheme="minorHAnsi" w:cstheme="minorHAnsi"/>
          <w:b/>
          <w:bCs/>
        </w:rPr>
        <w:t>CONTRATANTE</w:t>
      </w:r>
      <w:r w:rsidRPr="00FF73C6">
        <w:rPr>
          <w:rFonts w:asciiTheme="minorHAnsi" w:hAnsiTheme="minorHAnsi" w:cstheme="minorHAnsi"/>
        </w:rPr>
        <w:t xml:space="preserve">, </w:t>
      </w:r>
      <w:r w:rsidR="005A41C2" w:rsidRPr="00FF73C6">
        <w:rPr>
          <w:rFonts w:asciiTheme="minorHAnsi" w:hAnsiTheme="minorHAnsi" w:cstheme="minorHAnsi"/>
        </w:rPr>
        <w:t xml:space="preserve">para </w:t>
      </w:r>
      <w:r w:rsidR="00D43ACA" w:rsidRPr="00FF73C6">
        <w:rPr>
          <w:rFonts w:asciiTheme="minorHAnsi" w:hAnsiTheme="minorHAnsi" w:cstheme="minorHAnsi"/>
        </w:rPr>
        <w:t xml:space="preserve">realizar o inventário </w:t>
      </w:r>
      <w:r w:rsidR="00C91E85" w:rsidRPr="00FF73C6">
        <w:rPr>
          <w:rFonts w:asciiTheme="minorHAnsi" w:hAnsiTheme="minorHAnsi" w:cstheme="minorHAnsi"/>
        </w:rPr>
        <w:t xml:space="preserve">judicial </w:t>
      </w:r>
      <w:r w:rsidR="00D43ACA" w:rsidRPr="00FF73C6">
        <w:rPr>
          <w:rFonts w:asciiTheme="minorHAnsi" w:hAnsiTheme="minorHAnsi" w:cstheme="minorHAnsi"/>
        </w:rPr>
        <w:t>do espólio de s</w:t>
      </w:r>
      <w:r w:rsidR="00C91E85" w:rsidRPr="00FF73C6">
        <w:rPr>
          <w:rFonts w:asciiTheme="minorHAnsi" w:hAnsiTheme="minorHAnsi" w:cstheme="minorHAnsi"/>
        </w:rPr>
        <w:t>eu companheiro Vander Tachi Gonçalves, representando tanto a viúva quanto os herdeiros Thalles Tacchi Gonçalves e Ramon Wondolinger Tacchi Gonçalves.</w:t>
      </w:r>
    </w:p>
    <w:p w14:paraId="178CB709" w14:textId="7469DF28" w:rsidR="00CC297A" w:rsidRPr="00CC297A" w:rsidRDefault="00CC297A" w:rsidP="00CC297A">
      <w:pPr>
        <w:pStyle w:val="NormalWeb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Inventário judicial a ser processado na Comarca de Vespasiano/MG, envolvendo patrimônio estimado em aproximadamente R$ 3.</w:t>
      </w:r>
      <w:r w:rsidRPr="00FF73C6">
        <w:rPr>
          <w:rFonts w:asciiTheme="minorHAnsi" w:hAnsiTheme="minorHAnsi" w:cstheme="minorHAnsi"/>
        </w:rPr>
        <w:t>5</w:t>
      </w:r>
      <w:r w:rsidRPr="00CC297A">
        <w:rPr>
          <w:rFonts w:asciiTheme="minorHAnsi" w:hAnsiTheme="minorHAnsi" w:cstheme="minorHAnsi"/>
        </w:rPr>
        <w:t>00.000,00</w:t>
      </w:r>
      <w:r w:rsidRPr="00FF73C6">
        <w:rPr>
          <w:rFonts w:asciiTheme="minorHAnsi" w:hAnsiTheme="minorHAnsi" w:cstheme="minorHAnsi"/>
        </w:rPr>
        <w:t xml:space="preserve"> (três milhões e quinhentos mil reais)</w:t>
      </w:r>
      <w:r w:rsidRPr="00CC297A">
        <w:rPr>
          <w:rFonts w:asciiTheme="minorHAnsi" w:hAnsiTheme="minorHAnsi" w:cstheme="minorHAnsi"/>
        </w:rPr>
        <w:t>.</w:t>
      </w:r>
    </w:p>
    <w:p w14:paraId="6509BB32" w14:textId="777777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O acervo patrimonial informado inclui, em síntese:</w:t>
      </w:r>
    </w:p>
    <w:p w14:paraId="0352B394" w14:textId="777777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·         duas casas (uma em Vespasiano/MG e uma em Belo Horizonte/MG);</w:t>
      </w:r>
    </w:p>
    <w:p w14:paraId="58BC6109" w14:textId="5DC35E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 xml:space="preserve">·         </w:t>
      </w:r>
      <w:r w:rsidRPr="00FF73C6">
        <w:rPr>
          <w:rFonts w:asciiTheme="minorHAnsi" w:hAnsiTheme="minorHAnsi" w:cstheme="minorHAnsi"/>
        </w:rPr>
        <w:t>dois</w:t>
      </w:r>
      <w:r w:rsidRPr="00CC297A">
        <w:rPr>
          <w:rFonts w:asciiTheme="minorHAnsi" w:hAnsiTheme="minorHAnsi" w:cstheme="minorHAnsi"/>
        </w:rPr>
        <w:t xml:space="preserve"> apartamento</w:t>
      </w:r>
      <w:r w:rsidRPr="00FF73C6">
        <w:rPr>
          <w:rFonts w:asciiTheme="minorHAnsi" w:hAnsiTheme="minorHAnsi" w:cstheme="minorHAnsi"/>
        </w:rPr>
        <w:t>s</w:t>
      </w:r>
      <w:r w:rsidRPr="00CC297A">
        <w:rPr>
          <w:rFonts w:asciiTheme="minorHAnsi" w:hAnsiTheme="minorHAnsi" w:cstheme="minorHAnsi"/>
        </w:rPr>
        <w:t xml:space="preserve"> em Belo Horizonte/MG;</w:t>
      </w:r>
    </w:p>
    <w:p w14:paraId="2C6FCFE5" w14:textId="777777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·         um veículo;</w:t>
      </w:r>
    </w:p>
    <w:p w14:paraId="57276484" w14:textId="777777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·         uma arma de fogo;</w:t>
      </w:r>
    </w:p>
    <w:p w14:paraId="649AF61B" w14:textId="65F7F0B5" w:rsidR="00CC297A" w:rsidRPr="00FF73C6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lang w:val="pt-BR"/>
        </w:rPr>
        <w:t xml:space="preserve">·   </w:t>
      </w:r>
      <w:r w:rsidRPr="00FF73C6">
        <w:rPr>
          <w:rFonts w:asciiTheme="minorHAnsi" w:hAnsiTheme="minorHAnsi" w:cstheme="minorHAnsi"/>
          <w:lang w:val="pt-BR"/>
        </w:rPr>
        <w:t xml:space="preserve"> </w:t>
      </w:r>
      <w:r w:rsidRPr="00FF73C6">
        <w:rPr>
          <w:rFonts w:asciiTheme="minorHAnsi" w:hAnsiTheme="minorHAnsi" w:cstheme="minorHAnsi"/>
          <w:lang w:val="pt-BR"/>
        </w:rPr>
        <w:t>eventuais valores em conta corrente ou aplicações financeiras, caso existentes.</w:t>
      </w:r>
    </w:p>
    <w:p w14:paraId="704CB7A6" w14:textId="6D6A4583" w:rsidR="00CC297A" w:rsidRPr="00FF73C6" w:rsidRDefault="00CC297A" w:rsidP="00CC297A">
      <w:pPr>
        <w:pStyle w:val="NormalWeb"/>
        <w:numPr>
          <w:ilvl w:val="1"/>
          <w:numId w:val="4"/>
        </w:numPr>
        <w:spacing w:beforeAutospacing="1" w:afterAutospacing="1"/>
        <w:ind w:left="0" w:firstLine="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Os serviços advocatícios compreendem a condução integral do processo de inventário judicial, incluindo:</w:t>
      </w:r>
    </w:p>
    <w:p w14:paraId="543A7FE7" w14:textId="282197E0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lastRenderedPageBreak/>
        <w:t>·  análise inicial da documentação e organização das informações necessárias ao inventário;</w:t>
      </w:r>
    </w:p>
    <w:p w14:paraId="3ED21B8A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orientação jurídica aos herdeiros e interessados sobre os aspectos sucessórios do caso;</w:t>
      </w:r>
    </w:p>
    <w:p w14:paraId="036E5746" w14:textId="0852E8FC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estruturação jurídica da sucessão e da partilha dos bens;</w:t>
      </w:r>
    </w:p>
    <w:p w14:paraId="74151AE6" w14:textId="08D7161D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elaboração da petição inicial do inventário e demais manifestações processuais necessárias;</w:t>
      </w:r>
    </w:p>
    <w:p w14:paraId="256E0DE2" w14:textId="75536044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acompanhamento do processo perante o Poder Judiciário;</w:t>
      </w:r>
    </w:p>
    <w:p w14:paraId="3ACB7EFB" w14:textId="40FB2E1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atendimento a eventuais exigências judiciais ou do Ministério Público;</w:t>
      </w:r>
    </w:p>
    <w:p w14:paraId="5AB1B7D5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orientação quanto ao ITCMD e demais obrigações fiscais relacionadas ao inventário;</w:t>
      </w:r>
    </w:p>
    <w:p w14:paraId="73DFA73D" w14:textId="3DE02329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· </w:t>
      </w:r>
      <w:r w:rsidRPr="00FF73C6">
        <w:rPr>
          <w:rFonts w:asciiTheme="minorHAnsi" w:hAnsiTheme="minorHAnsi" w:cstheme="minorHAnsi"/>
        </w:rPr>
        <w:t xml:space="preserve"> </w:t>
      </w:r>
      <w:r w:rsidRPr="00FF73C6">
        <w:rPr>
          <w:rFonts w:asciiTheme="minorHAnsi" w:hAnsiTheme="minorHAnsi" w:cstheme="minorHAnsi"/>
        </w:rPr>
        <w:t>elaboração de esboço de partilha e ajustes necessários entre os interessados;</w:t>
      </w:r>
    </w:p>
    <w:p w14:paraId="6E06CD15" w14:textId="57695FA9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acompanhamento de avaliações ou providências necessárias para definição do patrimônio;</w:t>
      </w:r>
    </w:p>
    <w:p w14:paraId="3071CC20" w14:textId="70E4FBBC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acompanhamento até a homologação da partilha;</w:t>
      </w:r>
    </w:p>
    <w:p w14:paraId="194F3675" w14:textId="1043CC33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orientação final para registro e transferência dos bens aos herdeiros.</w:t>
      </w:r>
    </w:p>
    <w:p w14:paraId="62C91263" w14:textId="186F07CB" w:rsidR="00CC297A" w:rsidRPr="00FF73C6" w:rsidRDefault="00CC297A" w:rsidP="00CC297A">
      <w:pPr>
        <w:pStyle w:val="NormalWeb"/>
        <w:ind w:left="708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Excepcionalmente nesse caso, cuidaremos da ação de reconhecimento de união estável post mortem.</w:t>
      </w:r>
    </w:p>
    <w:p w14:paraId="049ED47F" w14:textId="52A96C4E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Durante todo o procedimento, o escritório realiza o acompanhamento jurídico e administrativo do processo, buscando reduzir a necessidade de envolvimento direto dos herdeiros com as etapas burocráticas.</w:t>
      </w:r>
    </w:p>
    <w:p w14:paraId="2B3DAFDA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</w:p>
    <w:p w14:paraId="3C3B0979" w14:textId="0F274531" w:rsidR="00CC297A" w:rsidRPr="00FF73C6" w:rsidRDefault="00CC297A" w:rsidP="00CC297A">
      <w:pPr>
        <w:pStyle w:val="NormalWeb"/>
        <w:jc w:val="both"/>
        <w:rPr>
          <w:rFonts w:asciiTheme="minorHAnsi" w:hAnsiTheme="minorHAnsi" w:cstheme="minorHAnsi"/>
          <w:b/>
          <w:bCs/>
        </w:rPr>
      </w:pPr>
      <w:r w:rsidRPr="00FF73C6">
        <w:rPr>
          <w:rFonts w:asciiTheme="minorHAnsi" w:hAnsiTheme="minorHAnsi" w:cstheme="minorHAnsi"/>
          <w:b/>
          <w:bCs/>
        </w:rPr>
        <w:t>1.</w:t>
      </w:r>
      <w:r w:rsidRPr="00FF73C6">
        <w:rPr>
          <w:rFonts w:asciiTheme="minorHAnsi" w:hAnsiTheme="minorHAnsi" w:cstheme="minorHAnsi"/>
          <w:b/>
          <w:bCs/>
        </w:rPr>
        <w:t>3. Limites do Trabalho</w:t>
      </w:r>
    </w:p>
    <w:p w14:paraId="4CCCDEAD" w14:textId="77777777" w:rsidR="00CC297A" w:rsidRPr="00FF73C6" w:rsidRDefault="00CC297A" w:rsidP="00CC297A">
      <w:pPr>
        <w:pStyle w:val="NormalWeb"/>
        <w:jc w:val="both"/>
        <w:rPr>
          <w:rFonts w:asciiTheme="minorHAnsi" w:hAnsiTheme="minorHAnsi" w:cstheme="minorHAnsi"/>
        </w:rPr>
      </w:pPr>
    </w:p>
    <w:p w14:paraId="24C4CE42" w14:textId="7096306E" w:rsidR="00CC297A" w:rsidRPr="00FF73C6" w:rsidRDefault="00CC297A" w:rsidP="00CC297A">
      <w:pPr>
        <w:pStyle w:val="NormalWeb"/>
        <w:ind w:firstLine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Não estão incluídos nesta proposta, salvo contratação específica posterior:</w:t>
      </w:r>
    </w:p>
    <w:p w14:paraId="2D4F7F29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litígios entre herdeiros ou disputas judiciais relacionadas à partilha;</w:t>
      </w:r>
    </w:p>
    <w:p w14:paraId="48559671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ações de investigação ou reconhecimento de paternidade;</w:t>
      </w:r>
    </w:p>
    <w:p w14:paraId="46F1BB5E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discussões judiciais complexas sobre testamentos;</w:t>
      </w:r>
    </w:p>
    <w:p w14:paraId="25BA65C7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regularização imobiliária ou registral de bens;</w:t>
      </w:r>
    </w:p>
    <w:p w14:paraId="058541E9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ações judiciais paralelas relacionadas ao patrimônio;</w:t>
      </w:r>
    </w:p>
    <w:p w14:paraId="62F041FB" w14:textId="4C7D7F30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questões envolvendo bens no exterior;</w:t>
      </w:r>
    </w:p>
    <w:p w14:paraId="0AFA15D5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disputas fiscais complexas;</w:t>
      </w:r>
    </w:p>
    <w:p w14:paraId="07086B56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medidas judiciais extraordinárias que extrapolem o procedimento regular do inventário;</w:t>
      </w:r>
    </w:p>
    <w:p w14:paraId="4F47BD0D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Sobrepartilha (bens descobertos após a homologação da partilha).</w:t>
      </w:r>
    </w:p>
    <w:p w14:paraId="4499ACF9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</w:p>
    <w:p w14:paraId="3FF5FFFE" w14:textId="643E4994" w:rsidR="00CC297A" w:rsidRPr="00FF73C6" w:rsidRDefault="00CC297A" w:rsidP="00FF73C6">
      <w:pPr>
        <w:pStyle w:val="NormalWeb"/>
        <w:ind w:firstLine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Caso tais situações surjam, poderão ser objeto de ajuste específico de honorários.</w:t>
      </w:r>
    </w:p>
    <w:p w14:paraId="018DE5A7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</w:p>
    <w:p w14:paraId="51BA5BAC" w14:textId="14AA1258" w:rsidR="005F277D" w:rsidRPr="00FF73C6" w:rsidRDefault="005F277D" w:rsidP="005F277D">
      <w:pPr>
        <w:pStyle w:val="NormalWeb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b/>
          <w:bCs/>
        </w:rPr>
        <w:lastRenderedPageBreak/>
        <w:t>1.</w:t>
      </w:r>
      <w:r w:rsidR="00CC297A" w:rsidRPr="00FF73C6">
        <w:rPr>
          <w:rFonts w:asciiTheme="minorHAnsi" w:hAnsiTheme="minorHAnsi" w:cstheme="minorHAnsi"/>
          <w:b/>
          <w:bCs/>
        </w:rPr>
        <w:t>4</w:t>
      </w:r>
      <w:r w:rsidRPr="00FF73C6">
        <w:rPr>
          <w:rFonts w:asciiTheme="minorHAnsi" w:hAnsiTheme="minorHAnsi" w:cstheme="minorHAnsi"/>
          <w:b/>
          <w:bCs/>
        </w:rPr>
        <w:t>.</w:t>
      </w:r>
      <w:r w:rsidRPr="00FF73C6">
        <w:rPr>
          <w:rFonts w:asciiTheme="minorHAnsi" w:hAnsiTheme="minorHAnsi" w:cstheme="minorHAnsi"/>
          <w:b/>
          <w:bCs/>
        </w:rPr>
        <w:tab/>
      </w:r>
      <w:r w:rsidRPr="00FF73C6">
        <w:rPr>
          <w:rFonts w:asciiTheme="minorHAnsi" w:hAnsiTheme="minorHAnsi" w:cstheme="minorHAnsi"/>
        </w:rPr>
        <w:t xml:space="preserve">Toda a prestação de serviço ora contratada será realizada </w:t>
      </w:r>
      <w:r w:rsidRPr="00FF73C6">
        <w:rPr>
          <w:rFonts w:asciiTheme="minorHAnsi" w:hAnsiTheme="minorHAnsi" w:cstheme="minorHAnsi"/>
          <w:b/>
          <w:bCs/>
          <w:i/>
          <w:iCs/>
        </w:rPr>
        <w:t>sem qualquer vínculo empregatício</w:t>
      </w:r>
      <w:r w:rsidRPr="00FF73C6">
        <w:rPr>
          <w:rFonts w:asciiTheme="minorHAnsi" w:hAnsiTheme="minorHAnsi" w:cstheme="minorHAnsi"/>
        </w:rPr>
        <w:t xml:space="preserve"> com os </w:t>
      </w:r>
      <w:r w:rsidRPr="00FF73C6">
        <w:rPr>
          <w:rFonts w:asciiTheme="minorHAnsi" w:hAnsiTheme="minorHAnsi" w:cstheme="minorHAnsi"/>
          <w:b/>
          <w:bCs/>
        </w:rPr>
        <w:t>CONTRATANTES</w:t>
      </w:r>
      <w:r w:rsidRPr="00FF73C6">
        <w:rPr>
          <w:rFonts w:asciiTheme="minorHAnsi" w:hAnsiTheme="minorHAnsi" w:cstheme="minorHAnsi"/>
        </w:rPr>
        <w:t xml:space="preserve">. </w:t>
      </w:r>
    </w:p>
    <w:p w14:paraId="755BB1CB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59C0B08E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50422282" w14:textId="77777777" w:rsidR="005F277D" w:rsidRPr="00FF73C6" w:rsidRDefault="005F277D" w:rsidP="005F277D">
      <w:pPr>
        <w:jc w:val="both"/>
        <w:rPr>
          <w:rFonts w:asciiTheme="minorHAnsi" w:hAnsiTheme="minorHAnsi" w:cstheme="minorHAnsi"/>
          <w:b/>
          <w:bCs/>
        </w:rPr>
      </w:pPr>
      <w:r w:rsidRPr="00FF73C6">
        <w:rPr>
          <w:rFonts w:asciiTheme="minorHAnsi" w:hAnsiTheme="minorHAnsi" w:cstheme="minorHAnsi"/>
          <w:b/>
          <w:bCs/>
        </w:rPr>
        <w:t>Cláusula segunda – DA FORMA DE PRESTAÇÃO DOS SERVIÇOS</w:t>
      </w:r>
    </w:p>
    <w:p w14:paraId="1432B6C9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789B0386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b/>
          <w:bCs/>
        </w:rPr>
        <w:t>2.1.</w:t>
      </w:r>
      <w:r w:rsidRPr="00FF73C6">
        <w:rPr>
          <w:rFonts w:asciiTheme="minorHAnsi" w:hAnsiTheme="minorHAnsi" w:cstheme="minorHAnsi"/>
          <w:b/>
          <w:bCs/>
        </w:rPr>
        <w:tab/>
      </w:r>
      <w:r w:rsidRPr="00FF73C6">
        <w:rPr>
          <w:rFonts w:asciiTheme="minorHAnsi" w:hAnsiTheme="minorHAnsi" w:cstheme="minorHAnsi"/>
        </w:rPr>
        <w:t xml:space="preserve">Os serviços profissionais objeto do presente instrumento serão prestados pelo </w:t>
      </w:r>
      <w:r w:rsidRPr="00FF73C6">
        <w:rPr>
          <w:rFonts w:asciiTheme="minorHAnsi" w:hAnsiTheme="minorHAnsi" w:cstheme="minorHAnsi"/>
          <w:b/>
          <w:bCs/>
        </w:rPr>
        <w:t>CONTRATADO</w:t>
      </w:r>
      <w:r w:rsidRPr="00FF73C6">
        <w:rPr>
          <w:rFonts w:asciiTheme="minorHAnsi" w:hAnsiTheme="minorHAnsi" w:cstheme="minorHAnsi"/>
        </w:rPr>
        <w:t xml:space="preserve"> e de seus funcionários, sendo vedado o substabelecimento dos serviços advocatícios a terceiros, a não ser com a prévia anuência dos </w:t>
      </w:r>
      <w:r w:rsidRPr="00FF73C6">
        <w:rPr>
          <w:rFonts w:asciiTheme="minorHAnsi" w:hAnsiTheme="minorHAnsi" w:cstheme="minorHAnsi"/>
          <w:b/>
          <w:bCs/>
        </w:rPr>
        <w:t>CONTRATANTES</w:t>
      </w:r>
      <w:r w:rsidRPr="00FF73C6">
        <w:rPr>
          <w:rFonts w:asciiTheme="minorHAnsi" w:hAnsiTheme="minorHAnsi" w:cstheme="minorHAnsi"/>
        </w:rPr>
        <w:t>.</w:t>
      </w:r>
    </w:p>
    <w:p w14:paraId="6DE328F5" w14:textId="77777777" w:rsidR="005F277D" w:rsidRPr="00FF73C6" w:rsidRDefault="005F277D" w:rsidP="005F277D">
      <w:pPr>
        <w:jc w:val="both"/>
        <w:rPr>
          <w:rFonts w:asciiTheme="minorHAnsi" w:hAnsiTheme="minorHAnsi" w:cstheme="minorHAnsi"/>
          <w:b/>
          <w:bCs/>
        </w:rPr>
      </w:pPr>
    </w:p>
    <w:p w14:paraId="3EA733D1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b/>
          <w:bCs/>
        </w:rPr>
        <w:t>2.2.</w:t>
      </w:r>
      <w:r w:rsidRPr="00FF73C6">
        <w:rPr>
          <w:rFonts w:asciiTheme="minorHAnsi" w:hAnsiTheme="minorHAnsi" w:cstheme="minorHAnsi"/>
          <w:b/>
          <w:bCs/>
        </w:rPr>
        <w:tab/>
      </w:r>
      <w:r w:rsidRPr="00FF73C6">
        <w:rPr>
          <w:rFonts w:asciiTheme="minorHAnsi" w:hAnsiTheme="minorHAnsi" w:cstheme="minorHAnsi"/>
        </w:rPr>
        <w:t xml:space="preserve">Eventuais serviços ou postulações administrativas e judiciais fora do Estado de Minas Gerais serão objeto de acompanhamento pelos advogados do </w:t>
      </w:r>
      <w:r w:rsidRPr="00FF73C6">
        <w:rPr>
          <w:rFonts w:asciiTheme="minorHAnsi" w:hAnsiTheme="minorHAnsi" w:cstheme="minorHAnsi"/>
          <w:b/>
          <w:bCs/>
        </w:rPr>
        <w:t>CONTRATADO</w:t>
      </w:r>
      <w:r w:rsidRPr="00FF73C6">
        <w:rPr>
          <w:rFonts w:asciiTheme="minorHAnsi" w:hAnsiTheme="minorHAnsi" w:cstheme="minorHAnsi"/>
        </w:rPr>
        <w:t xml:space="preserve"> e seus funcionários, sendo que poderá ser necessária a contratação de advogado correspondente, cujos custos serão pagos à parte.</w:t>
      </w:r>
    </w:p>
    <w:p w14:paraId="2F7BB9A9" w14:textId="77777777" w:rsidR="005F277D" w:rsidRPr="00FF73C6" w:rsidRDefault="005F277D" w:rsidP="005F277D">
      <w:pPr>
        <w:pStyle w:val="Ttulo1"/>
        <w:rPr>
          <w:rFonts w:asciiTheme="minorHAnsi" w:eastAsia="Calibri" w:hAnsiTheme="minorHAnsi" w:cstheme="minorHAnsi"/>
          <w:sz w:val="24"/>
          <w:szCs w:val="24"/>
        </w:rPr>
      </w:pPr>
    </w:p>
    <w:p w14:paraId="388E4EFA" w14:textId="77777777" w:rsidR="005F277D" w:rsidRPr="00FF73C6" w:rsidRDefault="005F277D" w:rsidP="005F277D">
      <w:pPr>
        <w:rPr>
          <w:rFonts w:asciiTheme="minorHAnsi" w:hAnsiTheme="minorHAnsi" w:cstheme="minorHAnsi"/>
        </w:rPr>
      </w:pPr>
    </w:p>
    <w:p w14:paraId="4678AAB5" w14:textId="77777777" w:rsidR="005F277D" w:rsidRPr="00FF73C6" w:rsidRDefault="005F277D" w:rsidP="005F277D">
      <w:pPr>
        <w:pStyle w:val="Ttulo1"/>
        <w:rPr>
          <w:rFonts w:asciiTheme="minorHAnsi" w:eastAsia="Calibri" w:hAnsiTheme="minorHAnsi" w:cstheme="minorHAnsi"/>
          <w:b/>
          <w:bCs/>
          <w:color w:val="auto"/>
          <w:sz w:val="24"/>
          <w:szCs w:val="24"/>
        </w:rPr>
      </w:pPr>
      <w:r w:rsidRPr="00FF73C6">
        <w:rPr>
          <w:rFonts w:asciiTheme="minorHAnsi" w:hAnsiTheme="minorHAnsi" w:cstheme="minorHAnsi"/>
          <w:b/>
          <w:bCs/>
          <w:color w:val="auto"/>
          <w:sz w:val="24"/>
          <w:szCs w:val="24"/>
        </w:rPr>
        <w:t>Cláusula terceira – DA VIGÊNCIA</w:t>
      </w:r>
    </w:p>
    <w:p w14:paraId="1E39AC16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258B82AA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3.1.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 xml:space="preserve">O prazo deste contrato 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é indeterminado.</w:t>
      </w:r>
    </w:p>
    <w:p w14:paraId="74206FD9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1B6FCB99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2AE2787C" w14:textId="77777777" w:rsidR="005F277D" w:rsidRPr="00FF73C6" w:rsidRDefault="005F277D" w:rsidP="005F277D">
      <w:pPr>
        <w:pStyle w:val="Ttulo1"/>
        <w:rPr>
          <w:rFonts w:asciiTheme="minorHAnsi" w:eastAsia="Calibri" w:hAnsiTheme="minorHAnsi" w:cstheme="minorHAnsi"/>
          <w:b/>
          <w:bCs/>
          <w:color w:val="auto"/>
          <w:sz w:val="24"/>
          <w:szCs w:val="24"/>
        </w:rPr>
      </w:pPr>
      <w:r w:rsidRPr="00FF73C6">
        <w:rPr>
          <w:rFonts w:asciiTheme="minorHAnsi" w:hAnsiTheme="minorHAnsi" w:cstheme="minorHAnsi"/>
          <w:b/>
          <w:bCs/>
          <w:color w:val="auto"/>
          <w:sz w:val="24"/>
          <w:szCs w:val="24"/>
        </w:rPr>
        <w:t>Cláusula quarta – DO PAGAMENTO</w:t>
      </w:r>
    </w:p>
    <w:p w14:paraId="4D3506F6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0658E403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4.1.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Acordam as partes que o pagamento ser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á feito da seguinte forma:</w:t>
      </w:r>
    </w:p>
    <w:p w14:paraId="1B2FF5FF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50D56F89" w14:textId="0D8916D3" w:rsidR="005A41C2" w:rsidRPr="00FF73C6" w:rsidRDefault="005F277D" w:rsidP="005A41C2">
      <w:pPr>
        <w:pStyle w:val="Corpodetexto"/>
        <w:numPr>
          <w:ilvl w:val="0"/>
          <w:numId w:val="3"/>
        </w:numPr>
        <w:ind w:left="360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Será pago, a título de honorários advocatícios, 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R$ </w:t>
      </w:r>
      <w:r w:rsidR="00C91E85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2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0.000,00 (</w:t>
      </w:r>
      <w:r w:rsidR="00C91E85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vinte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mil reais) em 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3 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(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trê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s) parcelas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, sendo a primeira no valor de R$ 10.000,00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(dez mil reais) até o dia 13/03/2026, a segunda 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de R$ 5.000,00 (cinco mil reais)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no dia 13/04/2026 e a terceira de R$ 5.000,00 (cinco mil reais), no dia 13/05/2026.</w:t>
      </w:r>
    </w:p>
    <w:p w14:paraId="7F670C87" w14:textId="77777777" w:rsidR="00D43ACA" w:rsidRPr="00FF73C6" w:rsidRDefault="00D43ACA" w:rsidP="00D43ACA">
      <w:pPr>
        <w:pStyle w:val="Corpodetexto"/>
        <w:ind w:left="360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01C561D5" w14:textId="735B805C" w:rsidR="00D43ACA" w:rsidRPr="00FF73C6" w:rsidRDefault="00D43ACA" w:rsidP="005A41C2">
      <w:pPr>
        <w:pStyle w:val="Corpodetexto"/>
        <w:numPr>
          <w:ilvl w:val="0"/>
          <w:numId w:val="3"/>
        </w:numPr>
        <w:ind w:left="360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Os valores deverão ser pagos através 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dos boletos enviados.</w:t>
      </w:r>
    </w:p>
    <w:p w14:paraId="347B86FC" w14:textId="77777777" w:rsidR="005F277D" w:rsidRPr="00FF73C6" w:rsidRDefault="005F277D" w:rsidP="005F277D">
      <w:pPr>
        <w:pStyle w:val="Corpodetexto"/>
        <w:ind w:left="360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47E682B0" w14:textId="77777777" w:rsidR="005A41C2" w:rsidRPr="00FF73C6" w:rsidRDefault="005A41C2" w:rsidP="005F277D">
      <w:pPr>
        <w:pStyle w:val="Corpodetexto"/>
        <w:rPr>
          <w:rFonts w:asciiTheme="minorHAnsi" w:hAnsiTheme="minorHAnsi" w:cstheme="minorHAnsi"/>
          <w:sz w:val="24"/>
          <w:szCs w:val="24"/>
        </w:rPr>
      </w:pPr>
    </w:p>
    <w:p w14:paraId="5F3DF80A" w14:textId="3EFDCE84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 xml:space="preserve">Cláusula </w:t>
      </w:r>
      <w:r w:rsidR="005A41C2" w:rsidRPr="00FF73C6">
        <w:rPr>
          <w:rFonts w:asciiTheme="minorHAnsi" w:hAnsiTheme="minorHAnsi" w:cstheme="minorHAnsi"/>
          <w:sz w:val="24"/>
          <w:szCs w:val="24"/>
        </w:rPr>
        <w:t>quint</w:t>
      </w:r>
      <w:r w:rsidRPr="00FF73C6">
        <w:rPr>
          <w:rFonts w:asciiTheme="minorHAnsi" w:hAnsiTheme="minorHAnsi" w:cstheme="minorHAnsi"/>
          <w:sz w:val="24"/>
          <w:szCs w:val="24"/>
        </w:rPr>
        <w:t>a – DAS CUSTAS JUDICIAIS</w:t>
      </w:r>
    </w:p>
    <w:p w14:paraId="67618D58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24785086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7.1.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Caber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á aos </w:t>
      </w:r>
      <w:r w:rsidRPr="00FF73C6">
        <w:rPr>
          <w:rFonts w:asciiTheme="minorHAnsi" w:hAnsiTheme="minorHAnsi" w:cstheme="minorHAnsi"/>
          <w:sz w:val="24"/>
          <w:szCs w:val="24"/>
        </w:rPr>
        <w:t>CONTRATANTES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o pagamento das custas judiciais, independentemente do pagamento dos honorários que estão estipulados neste contrato, salvo deferimento da gratuidade das custas judiciais.</w:t>
      </w:r>
    </w:p>
    <w:p w14:paraId="36B5D935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795A8664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20E296C0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Cláusula oitava – DAS DESPESAS DIVERSAS</w:t>
      </w:r>
    </w:p>
    <w:p w14:paraId="2FBE174C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2A908664" w14:textId="06B5CC4A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8.1.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Correr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á por conta dos </w:t>
      </w:r>
      <w:r w:rsidRPr="00FF73C6">
        <w:rPr>
          <w:rFonts w:asciiTheme="minorHAnsi" w:hAnsiTheme="minorHAnsi" w:cstheme="minorHAnsi"/>
          <w:sz w:val="24"/>
          <w:szCs w:val="24"/>
        </w:rPr>
        <w:t>CONTRATANTES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as despesas necessárias à prestação dos serviços objeto deste contrato, tais como cópias </w:t>
      </w:r>
      <w:r w:rsidR="005A41C2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xerox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, autenticações em cartório, e, se for necessário, despesas de viagem (compreendendo transporte e, se necessário, 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lastRenderedPageBreak/>
        <w:t xml:space="preserve">estadia, alimentação, táxi) e contratação de advogados correspondentes, sendo enviadas previamente ao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, quando se tratarem de custos de maior montante.</w:t>
      </w:r>
    </w:p>
    <w:p w14:paraId="0580849F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2E6C7685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8.2.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 xml:space="preserve">Os valores concernentes 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às custas processuais, aos honorários periciais e aos eventuais depósitos judiciais serão requisitados aos </w:t>
      </w:r>
      <w:r w:rsidRPr="00FF73C6">
        <w:rPr>
          <w:rFonts w:asciiTheme="minorHAnsi" w:hAnsiTheme="minorHAnsi" w:cstheme="minorHAnsi"/>
          <w:sz w:val="24"/>
          <w:szCs w:val="24"/>
        </w:rPr>
        <w:t>CONTRATANTES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, antecipadamente, sendo que a respectiva quantia deverá estar disponível para 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em espécie, no prazo máximo de 48 (quarenta e oito) horas, sob pena de não se realizar o ato processual necessário, eximindo-se 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de quaisquer responsabilidades.</w:t>
      </w:r>
    </w:p>
    <w:p w14:paraId="120B8CFC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602C49A8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1E128F05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Cláusula nona – DA DESISTÊNCIA</w:t>
      </w:r>
    </w:p>
    <w:p w14:paraId="49057640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7196615E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9.1.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Em caso de desist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ência do presente contrato antes do seu prazo final por parte dos </w:t>
      </w:r>
      <w:r w:rsidRPr="00FF73C6">
        <w:rPr>
          <w:rFonts w:asciiTheme="minorHAnsi" w:hAnsiTheme="minorHAnsi" w:cstheme="minorHAnsi"/>
          <w:sz w:val="24"/>
          <w:szCs w:val="24"/>
        </w:rPr>
        <w:t>CONTRATANTES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, caberá a estes, de acordo com o artigo 14 do Código de Ética e Disciplina da Ordem dos Advogados do Brasil (Lei nº 8.906/94) o pagamento de metade da verba honorária vincenda contratada anteriormente e não retirará do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o direito de receber o quanto seja devido em eventual verba honorária de sucumbência, calculada proporcionalmente, em face do serviço efetivamente prestado.</w:t>
      </w:r>
    </w:p>
    <w:p w14:paraId="31225779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0D828E68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9.2.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Sendo a desist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ência contratual requerida pelo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, caberá, de acordo com o Código de Processo Civil pátrio, no seu artigo 45, a representação do mandante durante os 10 (dez) dias seguintes à desistência contratual desde que seja necessário para evitar-lhe prejuízo. E, caso tenha sido pago alguma verba antecipada por serviço não efetuado, será devolvida aos </w:t>
      </w:r>
      <w:r w:rsidRPr="00FF73C6">
        <w:rPr>
          <w:rFonts w:asciiTheme="minorHAnsi" w:hAnsiTheme="minorHAnsi" w:cstheme="minorHAnsi"/>
          <w:sz w:val="24"/>
          <w:szCs w:val="24"/>
        </w:rPr>
        <w:t>CONTRATANTES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o valor referente a ela.  </w:t>
      </w:r>
    </w:p>
    <w:p w14:paraId="649DF044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1A173B4B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084A76E1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Cláusula décima – DO FORO</w:t>
      </w:r>
    </w:p>
    <w:p w14:paraId="2BBF45EB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63EA1A57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10.1.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As partes elegem o foro de Belo Horizonte/MG para qualquer pend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ência advinda do presente contrato, com renúncia expressa de outro, por mais privilegiado que seja.</w:t>
      </w:r>
    </w:p>
    <w:p w14:paraId="270170DF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</w:r>
    </w:p>
    <w:p w14:paraId="7D53D8C0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14AF315E" w14:textId="77777777" w:rsidR="005F277D" w:rsidRPr="00FF73C6" w:rsidRDefault="005F277D" w:rsidP="005F277D">
      <w:pPr>
        <w:pStyle w:val="Corpodetexto"/>
        <w:ind w:firstLine="708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E por estarem assim, justas e contratadas, assinam as partes o presente instrumento em duas vias de igual teor e forma, na presença de duas testemunhas. </w:t>
      </w:r>
    </w:p>
    <w:p w14:paraId="2005A11E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1302B7B2" w14:textId="77777777" w:rsidR="005F277D" w:rsidRPr="00FF73C6" w:rsidRDefault="005F277D" w:rsidP="005F277D">
      <w:pPr>
        <w:pStyle w:val="Corpodetexto"/>
        <w:jc w:val="center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6A4DD930" w14:textId="30D277EE" w:rsidR="005F277D" w:rsidRPr="00FF73C6" w:rsidRDefault="005F277D" w:rsidP="005F277D">
      <w:pPr>
        <w:pStyle w:val="Corpodetexto"/>
        <w:jc w:val="center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Belo Horizonte, 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09 de março de 2026.</w:t>
      </w:r>
    </w:p>
    <w:p w14:paraId="4792091D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48746EFB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35D27E08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6739D37E" w14:textId="3761C24F" w:rsidR="005F277D" w:rsidRPr="00FF73C6" w:rsidRDefault="00FF73C6" w:rsidP="005F277D">
      <w:pPr>
        <w:pStyle w:val="Corpodetexto"/>
        <w:jc w:val="center"/>
        <w:rPr>
          <w:rFonts w:asciiTheme="minorHAnsi" w:eastAsia="Calibri" w:hAnsiTheme="minorHAnsi" w:cstheme="minorHAnsi"/>
          <w:i/>
          <w:iCs/>
          <w:sz w:val="24"/>
          <w:szCs w:val="24"/>
        </w:rPr>
      </w:pPr>
      <w:r w:rsidRPr="00FF73C6">
        <w:rPr>
          <w:rFonts w:asciiTheme="minorHAnsi" w:eastAsia="Calibri" w:hAnsiTheme="minorHAnsi" w:cstheme="minorHAnsi"/>
          <w:i/>
          <w:iCs/>
          <w:sz w:val="24"/>
          <w:szCs w:val="24"/>
        </w:rPr>
        <w:t xml:space="preserve">GIANI </w:t>
      </w:r>
      <w:r w:rsidRPr="00FF73C6">
        <w:rPr>
          <w:rFonts w:asciiTheme="minorHAnsi" w:hAnsiTheme="minorHAnsi" w:cstheme="minorHAnsi"/>
          <w:i/>
          <w:iCs/>
          <w:sz w:val="24"/>
          <w:szCs w:val="24"/>
          <w:lang w:val="pt-BR"/>
        </w:rPr>
        <w:t>WONDOLINGER DUARTE ANDRADE</w:t>
      </w:r>
    </w:p>
    <w:p w14:paraId="5C326DE9" w14:textId="77777777" w:rsidR="005A41C2" w:rsidRPr="00FF73C6" w:rsidRDefault="005A41C2" w:rsidP="005F277D">
      <w:pPr>
        <w:pStyle w:val="Corpodetexto"/>
        <w:jc w:val="center"/>
        <w:rPr>
          <w:rFonts w:asciiTheme="minorHAnsi" w:eastAsia="Calibri" w:hAnsiTheme="minorHAnsi" w:cstheme="minorHAnsi"/>
          <w:i/>
          <w:iCs/>
          <w:sz w:val="24"/>
          <w:szCs w:val="24"/>
        </w:rPr>
      </w:pPr>
    </w:p>
    <w:p w14:paraId="307379C4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i/>
          <w:iCs/>
          <w:sz w:val="24"/>
          <w:szCs w:val="24"/>
        </w:rPr>
      </w:pPr>
    </w:p>
    <w:p w14:paraId="59132ABE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</w:p>
    <w:p w14:paraId="4F5BB35C" w14:textId="74540F38" w:rsidR="005F277D" w:rsidRPr="00FF73C6" w:rsidRDefault="005F277D" w:rsidP="005F277D">
      <w:pPr>
        <w:pStyle w:val="Corpodetexto"/>
        <w:jc w:val="center"/>
        <w:rPr>
          <w:rFonts w:asciiTheme="minorHAnsi" w:hAnsiTheme="minorHAnsi" w:cstheme="minorHAnsi"/>
          <w:i/>
          <w:iCs/>
          <w:sz w:val="24"/>
          <w:szCs w:val="24"/>
        </w:rPr>
      </w:pPr>
    </w:p>
    <w:p w14:paraId="0BFC9F53" w14:textId="77777777" w:rsidR="005F277D" w:rsidRPr="00FF73C6" w:rsidRDefault="005F277D" w:rsidP="005F277D">
      <w:pPr>
        <w:pStyle w:val="Corpodetexto"/>
        <w:jc w:val="center"/>
        <w:rPr>
          <w:rFonts w:asciiTheme="minorHAnsi" w:eastAsia="Calibri" w:hAnsiTheme="minorHAnsi" w:cstheme="minorHAnsi"/>
          <w:b w:val="0"/>
          <w:bCs w:val="0"/>
          <w:i/>
          <w:iCs/>
          <w:sz w:val="24"/>
          <w:szCs w:val="24"/>
        </w:rPr>
      </w:pPr>
      <w:r w:rsidRPr="00FF73C6">
        <w:rPr>
          <w:rFonts w:asciiTheme="minorHAnsi" w:hAnsiTheme="minorHAnsi" w:cstheme="minorHAnsi"/>
          <w:i/>
          <w:iCs/>
          <w:sz w:val="24"/>
          <w:szCs w:val="24"/>
        </w:rPr>
        <w:t>PESSOA E DO VAL ADVOCACIA</w:t>
      </w:r>
    </w:p>
    <w:p w14:paraId="7578F0E4" w14:textId="77777777" w:rsidR="005F277D" w:rsidRPr="00FF73C6" w:rsidRDefault="005F277D" w:rsidP="005F277D">
      <w:pPr>
        <w:pStyle w:val="Corpodetexto"/>
        <w:jc w:val="center"/>
        <w:rPr>
          <w:rFonts w:asciiTheme="minorHAnsi" w:eastAsia="Calibri" w:hAnsiTheme="minorHAnsi" w:cstheme="minorHAnsi"/>
          <w:sz w:val="24"/>
          <w:szCs w:val="24"/>
        </w:rPr>
      </w:pPr>
    </w:p>
    <w:p w14:paraId="3BBE4E71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</w:p>
    <w:p w14:paraId="0ED42962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</w:p>
    <w:p w14:paraId="7C445064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_______________________________</w:t>
      </w:r>
      <w:r w:rsidRPr="00FF73C6">
        <w:rPr>
          <w:rFonts w:asciiTheme="minorHAnsi" w:hAnsiTheme="minorHAnsi" w:cstheme="minorHAnsi"/>
          <w:sz w:val="24"/>
          <w:szCs w:val="24"/>
        </w:rPr>
        <w:tab/>
        <w:t>_________________________________</w:t>
      </w:r>
    </w:p>
    <w:p w14:paraId="63CD0A95" w14:textId="77777777" w:rsidR="005F277D" w:rsidRPr="00FF73C6" w:rsidRDefault="005F277D" w:rsidP="005F277D">
      <w:pPr>
        <w:pStyle w:val="Corpodetexto"/>
        <w:rPr>
          <w:rFonts w:asciiTheme="minorHAns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Testemunha</w:t>
      </w:r>
      <w:r w:rsidRPr="00FF73C6">
        <w:rPr>
          <w:rFonts w:asciiTheme="minorHAnsi" w:hAnsiTheme="minorHAnsi" w:cstheme="minorHAnsi"/>
          <w:sz w:val="24"/>
          <w:szCs w:val="24"/>
        </w:rPr>
        <w:tab/>
      </w:r>
      <w:r w:rsidRPr="00FF73C6">
        <w:rPr>
          <w:rFonts w:asciiTheme="minorHAnsi" w:hAnsiTheme="minorHAnsi" w:cstheme="minorHAnsi"/>
          <w:sz w:val="24"/>
          <w:szCs w:val="24"/>
        </w:rPr>
        <w:tab/>
      </w:r>
      <w:r w:rsidRPr="00FF73C6">
        <w:rPr>
          <w:rFonts w:asciiTheme="minorHAnsi" w:hAnsiTheme="minorHAnsi" w:cstheme="minorHAnsi"/>
          <w:sz w:val="24"/>
          <w:szCs w:val="24"/>
        </w:rPr>
        <w:tab/>
      </w:r>
      <w:r w:rsidRPr="00FF73C6">
        <w:rPr>
          <w:rFonts w:asciiTheme="minorHAnsi" w:hAnsiTheme="minorHAnsi" w:cstheme="minorHAnsi"/>
          <w:sz w:val="24"/>
          <w:szCs w:val="24"/>
        </w:rPr>
        <w:tab/>
      </w:r>
      <w:r w:rsidRPr="00FF73C6">
        <w:rPr>
          <w:rFonts w:asciiTheme="minorHAnsi" w:hAnsiTheme="minorHAnsi" w:cstheme="minorHAnsi"/>
          <w:sz w:val="24"/>
          <w:szCs w:val="24"/>
        </w:rPr>
        <w:tab/>
        <w:t>Testemunha</w:t>
      </w:r>
    </w:p>
    <w:p w14:paraId="4C1BD284" w14:textId="77777777" w:rsidR="005F277D" w:rsidRPr="00FF73C6" w:rsidRDefault="005F277D" w:rsidP="005F277D">
      <w:pPr>
        <w:rPr>
          <w:rFonts w:asciiTheme="minorHAnsi" w:hAnsiTheme="minorHAnsi" w:cstheme="minorHAnsi"/>
        </w:rPr>
      </w:pPr>
    </w:p>
    <w:p w14:paraId="4202131E" w14:textId="2A6E7433" w:rsidR="00FA03EA" w:rsidRPr="00FF73C6" w:rsidRDefault="00FA03EA" w:rsidP="005F277D">
      <w:pPr>
        <w:pStyle w:val="NormalWeb"/>
        <w:spacing w:before="0" w:after="0"/>
        <w:jc w:val="center"/>
        <w:rPr>
          <w:rFonts w:asciiTheme="minorHAnsi" w:hAnsiTheme="minorHAnsi" w:cstheme="minorHAnsi"/>
        </w:rPr>
      </w:pPr>
    </w:p>
    <w:sectPr w:rsidR="00FA03EA" w:rsidRPr="00FF73C6" w:rsidSect="00F06982">
      <w:headerReference w:type="default" r:id="rId8"/>
      <w:footerReference w:type="default" r:id="rId9"/>
      <w:pgSz w:w="11900" w:h="16840"/>
      <w:pgMar w:top="17" w:right="1701" w:bottom="0" w:left="1701" w:header="1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2B26C" w14:textId="77777777" w:rsidR="00124135" w:rsidRDefault="00124135" w:rsidP="005C5403">
      <w:r>
        <w:separator/>
      </w:r>
    </w:p>
  </w:endnote>
  <w:endnote w:type="continuationSeparator" w:id="0">
    <w:p w14:paraId="5B5C0483" w14:textId="77777777" w:rsidR="00124135" w:rsidRDefault="00124135" w:rsidP="005C5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97398" w14:textId="38289C8F" w:rsidR="005C5403" w:rsidRDefault="00D932E9" w:rsidP="005C5403">
    <w:pPr>
      <w:pStyle w:val="Rodap"/>
      <w:ind w:left="-1701"/>
    </w:pPr>
    <w:r>
      <w:rPr>
        <w:noProof/>
      </w:rPr>
      <w:drawing>
        <wp:inline distT="0" distB="0" distL="0" distR="0" wp14:anchorId="090AF2F8" wp14:editId="05F58D9C">
          <wp:extent cx="7649210" cy="642272"/>
          <wp:effectExtent l="0" t="0" r="0" b="5715"/>
          <wp:docPr id="4" name="Imagem 4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951"/>
                  <a:stretch/>
                </pic:blipFill>
                <pic:spPr bwMode="auto">
                  <a:xfrm>
                    <a:off x="0" y="0"/>
                    <a:ext cx="8047526" cy="67571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A79C3" w14:textId="77777777" w:rsidR="00124135" w:rsidRDefault="00124135" w:rsidP="005C5403">
      <w:r>
        <w:separator/>
      </w:r>
    </w:p>
  </w:footnote>
  <w:footnote w:type="continuationSeparator" w:id="0">
    <w:p w14:paraId="2EF24569" w14:textId="77777777" w:rsidR="00124135" w:rsidRDefault="00124135" w:rsidP="005C5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FDEC5" w14:textId="32D35304" w:rsidR="005C5403" w:rsidRDefault="00D932E9" w:rsidP="005C5403">
    <w:pPr>
      <w:pStyle w:val="Cabealho"/>
      <w:ind w:left="-1701"/>
    </w:pPr>
    <w:r>
      <w:rPr>
        <w:noProof/>
      </w:rPr>
      <w:drawing>
        <wp:inline distT="0" distB="0" distL="0" distR="0" wp14:anchorId="7024848F" wp14:editId="2D2EF338">
          <wp:extent cx="7605132" cy="965835"/>
          <wp:effectExtent l="0" t="0" r="2540" b="0"/>
          <wp:docPr id="3" name="Imagem 3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292"/>
                  <a:stretch/>
                </pic:blipFill>
                <pic:spPr bwMode="auto">
                  <a:xfrm>
                    <a:off x="0" y="0"/>
                    <a:ext cx="7675253" cy="9747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12FC2"/>
    <w:multiLevelType w:val="multilevel"/>
    <w:tmpl w:val="A9A48F3A"/>
    <w:lvl w:ilvl="0">
      <w:start w:val="1"/>
      <w:numFmt w:val="decimal"/>
      <w:lvlText w:val="%1."/>
      <w:lvlJc w:val="left"/>
      <w:pPr>
        <w:ind w:left="700" w:hanging="70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00" w:hanging="70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" w15:restartNumberingAfterBreak="0">
    <w:nsid w:val="137C20A6"/>
    <w:multiLevelType w:val="hybridMultilevel"/>
    <w:tmpl w:val="4C3268E4"/>
    <w:styleLink w:val="EstiloImportado1"/>
    <w:lvl w:ilvl="0" w:tplc="4B3466B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E22D9D8">
      <w:start w:val="1"/>
      <w:numFmt w:val="bullet"/>
      <w:lvlText w:val="o"/>
      <w:lvlJc w:val="left"/>
      <w:pPr>
        <w:tabs>
          <w:tab w:val="left" w:pos="720"/>
        </w:tabs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C86AE6E">
      <w:start w:val="1"/>
      <w:numFmt w:val="bullet"/>
      <w:lvlText w:val="▪"/>
      <w:lvlJc w:val="left"/>
      <w:pPr>
        <w:tabs>
          <w:tab w:val="left" w:pos="720"/>
        </w:tabs>
        <w:ind w:left="21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1BC94E8">
      <w:start w:val="1"/>
      <w:numFmt w:val="bullet"/>
      <w:lvlText w:val="•"/>
      <w:lvlJc w:val="left"/>
      <w:pPr>
        <w:tabs>
          <w:tab w:val="left" w:pos="720"/>
        </w:tabs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D4E6642">
      <w:start w:val="1"/>
      <w:numFmt w:val="bullet"/>
      <w:lvlText w:val="o"/>
      <w:lvlJc w:val="left"/>
      <w:pPr>
        <w:tabs>
          <w:tab w:val="left" w:pos="720"/>
        </w:tabs>
        <w:ind w:left="360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5D229F2">
      <w:start w:val="1"/>
      <w:numFmt w:val="bullet"/>
      <w:lvlText w:val="▪"/>
      <w:lvlJc w:val="left"/>
      <w:pPr>
        <w:tabs>
          <w:tab w:val="left" w:pos="720"/>
        </w:tabs>
        <w:ind w:left="43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098C8F4">
      <w:start w:val="1"/>
      <w:numFmt w:val="bullet"/>
      <w:lvlText w:val="•"/>
      <w:lvlJc w:val="left"/>
      <w:pPr>
        <w:tabs>
          <w:tab w:val="left" w:pos="720"/>
        </w:tabs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50A7C74">
      <w:start w:val="1"/>
      <w:numFmt w:val="bullet"/>
      <w:lvlText w:val="o"/>
      <w:lvlJc w:val="left"/>
      <w:pPr>
        <w:tabs>
          <w:tab w:val="left" w:pos="720"/>
        </w:tabs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57C85FC">
      <w:start w:val="1"/>
      <w:numFmt w:val="bullet"/>
      <w:lvlText w:val="▪"/>
      <w:lvlJc w:val="left"/>
      <w:pPr>
        <w:tabs>
          <w:tab w:val="left" w:pos="720"/>
        </w:tabs>
        <w:ind w:left="64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5F952E16"/>
    <w:multiLevelType w:val="hybridMultilevel"/>
    <w:tmpl w:val="53D0AFE6"/>
    <w:lvl w:ilvl="0" w:tplc="98AEB29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74171D"/>
    <w:multiLevelType w:val="hybridMultilevel"/>
    <w:tmpl w:val="4C3268E4"/>
    <w:numStyleLink w:val="EstiloImportado1"/>
  </w:abstractNum>
  <w:num w:numId="1" w16cid:durableId="352190852">
    <w:abstractNumId w:val="2"/>
  </w:num>
  <w:num w:numId="2" w16cid:durableId="1074164356">
    <w:abstractNumId w:val="1"/>
  </w:num>
  <w:num w:numId="3" w16cid:durableId="315384054">
    <w:abstractNumId w:val="3"/>
  </w:num>
  <w:num w:numId="4" w16cid:durableId="439908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2E9"/>
    <w:rsid w:val="00010480"/>
    <w:rsid w:val="00055BA0"/>
    <w:rsid w:val="00085FD2"/>
    <w:rsid w:val="000B0A31"/>
    <w:rsid w:val="000D2BDE"/>
    <w:rsid w:val="000D6F44"/>
    <w:rsid w:val="000E2CF8"/>
    <w:rsid w:val="00124135"/>
    <w:rsid w:val="00142DA5"/>
    <w:rsid w:val="001A2DA2"/>
    <w:rsid w:val="001C4FD0"/>
    <w:rsid w:val="001D4DC4"/>
    <w:rsid w:val="00207BF7"/>
    <w:rsid w:val="002579EE"/>
    <w:rsid w:val="002818BF"/>
    <w:rsid w:val="00290FD1"/>
    <w:rsid w:val="002B744E"/>
    <w:rsid w:val="002D2795"/>
    <w:rsid w:val="003149FA"/>
    <w:rsid w:val="00317462"/>
    <w:rsid w:val="0036201F"/>
    <w:rsid w:val="00375D32"/>
    <w:rsid w:val="00387F94"/>
    <w:rsid w:val="00394922"/>
    <w:rsid w:val="003E5C25"/>
    <w:rsid w:val="00484632"/>
    <w:rsid w:val="00493BA7"/>
    <w:rsid w:val="004D37F1"/>
    <w:rsid w:val="004E1CD4"/>
    <w:rsid w:val="004E2668"/>
    <w:rsid w:val="004F5054"/>
    <w:rsid w:val="005630B3"/>
    <w:rsid w:val="005A1B62"/>
    <w:rsid w:val="005A41C2"/>
    <w:rsid w:val="005B1E0D"/>
    <w:rsid w:val="005B2FFA"/>
    <w:rsid w:val="005C5403"/>
    <w:rsid w:val="005D549E"/>
    <w:rsid w:val="005F277D"/>
    <w:rsid w:val="00651EAD"/>
    <w:rsid w:val="006921AB"/>
    <w:rsid w:val="006A4793"/>
    <w:rsid w:val="006C779D"/>
    <w:rsid w:val="006D1B63"/>
    <w:rsid w:val="00701720"/>
    <w:rsid w:val="00701C0C"/>
    <w:rsid w:val="00722614"/>
    <w:rsid w:val="00722F96"/>
    <w:rsid w:val="00764D4F"/>
    <w:rsid w:val="007B7068"/>
    <w:rsid w:val="007C600C"/>
    <w:rsid w:val="0082207D"/>
    <w:rsid w:val="00862EA3"/>
    <w:rsid w:val="00863E7E"/>
    <w:rsid w:val="0087590A"/>
    <w:rsid w:val="008C139A"/>
    <w:rsid w:val="008C2769"/>
    <w:rsid w:val="008D6573"/>
    <w:rsid w:val="00901985"/>
    <w:rsid w:val="00955D4E"/>
    <w:rsid w:val="00964D45"/>
    <w:rsid w:val="00A25A8D"/>
    <w:rsid w:val="00A76B68"/>
    <w:rsid w:val="00AD1C23"/>
    <w:rsid w:val="00AD56BC"/>
    <w:rsid w:val="00AE0EF9"/>
    <w:rsid w:val="00AF495D"/>
    <w:rsid w:val="00B07851"/>
    <w:rsid w:val="00B52D35"/>
    <w:rsid w:val="00B53766"/>
    <w:rsid w:val="00B81591"/>
    <w:rsid w:val="00B93C01"/>
    <w:rsid w:val="00BA18EB"/>
    <w:rsid w:val="00BE26AC"/>
    <w:rsid w:val="00C17931"/>
    <w:rsid w:val="00C24B04"/>
    <w:rsid w:val="00C43579"/>
    <w:rsid w:val="00C91E85"/>
    <w:rsid w:val="00CB07FB"/>
    <w:rsid w:val="00CC297A"/>
    <w:rsid w:val="00CC348E"/>
    <w:rsid w:val="00CC40EA"/>
    <w:rsid w:val="00D43ACA"/>
    <w:rsid w:val="00D77722"/>
    <w:rsid w:val="00D932E9"/>
    <w:rsid w:val="00D9797F"/>
    <w:rsid w:val="00DA30B7"/>
    <w:rsid w:val="00E77551"/>
    <w:rsid w:val="00E86B01"/>
    <w:rsid w:val="00F06982"/>
    <w:rsid w:val="00F9722C"/>
    <w:rsid w:val="00FA03EA"/>
    <w:rsid w:val="00FB188A"/>
    <w:rsid w:val="00FC2467"/>
    <w:rsid w:val="00FE0594"/>
    <w:rsid w:val="00FF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14DC43"/>
  <w15:chartTrackingRefBased/>
  <w15:docId w15:val="{5B23CF63-9F78-C648-8691-9D5635998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766"/>
    <w:rPr>
      <w:rFonts w:ascii="Times New Roman" w:eastAsia="Times New Roman" w:hAnsi="Times New Roman" w:cs="Times New Roman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5F277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01720"/>
    <w:pPr>
      <w:keepNext/>
      <w:keepLines/>
      <w:spacing w:before="40" w:line="276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paragraph" w:styleId="Ttulo3">
    <w:name w:val="heading 3"/>
    <w:basedOn w:val="Normal"/>
    <w:next w:val="Normal"/>
    <w:link w:val="Ttulo3Char"/>
    <w:uiPriority w:val="9"/>
    <w:qFormat/>
    <w:rsid w:val="00D77722"/>
    <w:pPr>
      <w:keepNext/>
      <w:spacing w:before="240" w:after="60" w:line="276" w:lineRule="auto"/>
      <w:outlineLvl w:val="2"/>
    </w:pPr>
    <w:rPr>
      <w:rFonts w:ascii="Cambria" w:hAnsi="Cambria"/>
      <w:b/>
      <w:bCs/>
      <w:sz w:val="26"/>
      <w:szCs w:val="26"/>
      <w:lang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5403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5C5403"/>
  </w:style>
  <w:style w:type="paragraph" w:styleId="Rodap">
    <w:name w:val="footer"/>
    <w:basedOn w:val="Normal"/>
    <w:link w:val="RodapChar"/>
    <w:uiPriority w:val="99"/>
    <w:unhideWhenUsed/>
    <w:rsid w:val="005C5403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5C5403"/>
  </w:style>
  <w:style w:type="paragraph" w:styleId="NormalWeb">
    <w:name w:val="Normal (Web)"/>
    <w:uiPriority w:val="99"/>
    <w:rsid w:val="00085FD2"/>
    <w:pPr>
      <w:pBdr>
        <w:top w:val="nil"/>
        <w:left w:val="nil"/>
        <w:bottom w:val="nil"/>
        <w:right w:val="nil"/>
        <w:between w:val="nil"/>
        <w:bar w:val="nil"/>
      </w:pBdr>
      <w:spacing w:before="100" w:after="100"/>
    </w:pPr>
    <w:rPr>
      <w:rFonts w:ascii="Times New Roman" w:eastAsia="Arial Unicode MS" w:hAnsi="Times New Roman" w:cs="Arial Unicode MS"/>
      <w:color w:val="000000"/>
      <w:u w:color="000000"/>
      <w:bdr w:val="nil"/>
      <w:lang w:val="pt-PT" w:eastAsia="pt-BR"/>
    </w:rPr>
  </w:style>
  <w:style w:type="paragraph" w:styleId="Ttulo">
    <w:name w:val="Title"/>
    <w:basedOn w:val="Normal"/>
    <w:link w:val="TtuloChar"/>
    <w:uiPriority w:val="10"/>
    <w:qFormat/>
    <w:rsid w:val="00955D4E"/>
    <w:pPr>
      <w:jc w:val="center"/>
    </w:pPr>
    <w:rPr>
      <w:b/>
      <w:sz w:val="28"/>
      <w:szCs w:val="20"/>
      <w:u w:val="single"/>
      <w:lang w:val="en-US"/>
    </w:rPr>
  </w:style>
  <w:style w:type="character" w:customStyle="1" w:styleId="TtuloChar">
    <w:name w:val="Título Char"/>
    <w:basedOn w:val="Fontepargpadro"/>
    <w:link w:val="Ttulo"/>
    <w:uiPriority w:val="10"/>
    <w:rsid w:val="00955D4E"/>
    <w:rPr>
      <w:rFonts w:ascii="Times New Roman" w:eastAsia="Times New Roman" w:hAnsi="Times New Roman" w:cs="Times New Roman"/>
      <w:b/>
      <w:sz w:val="28"/>
      <w:szCs w:val="20"/>
      <w:u w:val="single"/>
      <w:lang w:val="en-US" w:eastAsia="pt-BR"/>
    </w:rPr>
  </w:style>
  <w:style w:type="character" w:customStyle="1" w:styleId="Ttulo3Char">
    <w:name w:val="Título 3 Char"/>
    <w:basedOn w:val="Fontepargpadro"/>
    <w:link w:val="Ttulo3"/>
    <w:uiPriority w:val="9"/>
    <w:rsid w:val="00D77722"/>
    <w:rPr>
      <w:rFonts w:ascii="Cambria" w:eastAsia="Times New Roman" w:hAnsi="Cambria" w:cs="Times New Roman"/>
      <w:b/>
      <w:bCs/>
      <w:sz w:val="26"/>
      <w:szCs w:val="26"/>
    </w:rPr>
  </w:style>
  <w:style w:type="paragraph" w:customStyle="1" w:styleId="paragraph">
    <w:name w:val="paragraph"/>
    <w:basedOn w:val="Normal"/>
    <w:rsid w:val="00D9797F"/>
    <w:pPr>
      <w:spacing w:before="100" w:beforeAutospacing="1" w:after="100" w:afterAutospacing="1"/>
    </w:pPr>
  </w:style>
  <w:style w:type="character" w:customStyle="1" w:styleId="normaltextrun">
    <w:name w:val="normaltextrun"/>
    <w:basedOn w:val="Fontepargpadro"/>
    <w:rsid w:val="00D9797F"/>
  </w:style>
  <w:style w:type="character" w:customStyle="1" w:styleId="eop">
    <w:name w:val="eop"/>
    <w:basedOn w:val="Fontepargpadro"/>
    <w:rsid w:val="002818BF"/>
  </w:style>
  <w:style w:type="character" w:customStyle="1" w:styleId="tabchar">
    <w:name w:val="tabchar"/>
    <w:basedOn w:val="Fontepargpadro"/>
    <w:rsid w:val="002818BF"/>
  </w:style>
  <w:style w:type="paragraph" w:styleId="PargrafodaLista">
    <w:name w:val="List Paragraph"/>
    <w:basedOn w:val="Normal"/>
    <w:uiPriority w:val="34"/>
    <w:qFormat/>
    <w:rsid w:val="0087590A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Forte">
    <w:name w:val="Strong"/>
    <w:basedOn w:val="Fontepargpadro"/>
    <w:qFormat/>
    <w:rsid w:val="00394922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semiHidden/>
    <w:rsid w:val="0070172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C17931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  <w:lang w:val="en-US" w:eastAsia="en-US"/>
    </w:rPr>
  </w:style>
  <w:style w:type="character" w:customStyle="1" w:styleId="Link">
    <w:name w:val="Link"/>
    <w:basedOn w:val="Fontepargpadro"/>
    <w:rsid w:val="00C17931"/>
    <w:rPr>
      <w:color w:val="4472C4" w:themeColor="accent1"/>
    </w:rPr>
  </w:style>
  <w:style w:type="character" w:customStyle="1" w:styleId="Ttulo1Char">
    <w:name w:val="Título 1 Char"/>
    <w:basedOn w:val="Fontepargpadro"/>
    <w:link w:val="Ttulo1"/>
    <w:uiPriority w:val="9"/>
    <w:rsid w:val="005F277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paragraph" w:styleId="Corpodetexto">
    <w:name w:val="Body Text"/>
    <w:link w:val="CorpodetextoChar"/>
    <w:rsid w:val="005F277D"/>
    <w:pPr>
      <w:pBdr>
        <w:top w:val="nil"/>
        <w:left w:val="nil"/>
        <w:bottom w:val="nil"/>
        <w:right w:val="nil"/>
        <w:between w:val="nil"/>
        <w:bar w:val="nil"/>
      </w:pBdr>
      <w:jc w:val="both"/>
    </w:pPr>
    <w:rPr>
      <w:rFonts w:ascii="Times New Roman" w:eastAsia="Arial Unicode MS" w:hAnsi="Times New Roman" w:cs="Arial Unicode MS"/>
      <w:b/>
      <w:bCs/>
      <w:color w:val="000000"/>
      <w:sz w:val="20"/>
      <w:szCs w:val="20"/>
      <w:u w:color="000000"/>
      <w:bdr w:val="nil"/>
      <w:lang w:val="pt-PT" w:eastAsia="pt-BR"/>
    </w:rPr>
  </w:style>
  <w:style w:type="character" w:customStyle="1" w:styleId="CorpodetextoChar">
    <w:name w:val="Corpo de texto Char"/>
    <w:basedOn w:val="Fontepargpadro"/>
    <w:link w:val="Corpodetexto"/>
    <w:rsid w:val="005F277D"/>
    <w:rPr>
      <w:rFonts w:ascii="Times New Roman" w:eastAsia="Arial Unicode MS" w:hAnsi="Times New Roman" w:cs="Arial Unicode MS"/>
      <w:b/>
      <w:bCs/>
      <w:color w:val="000000"/>
      <w:sz w:val="20"/>
      <w:szCs w:val="20"/>
      <w:u w:color="000000"/>
      <w:bdr w:val="nil"/>
      <w:lang w:val="pt-PT" w:eastAsia="pt-BR"/>
    </w:rPr>
  </w:style>
  <w:style w:type="numbering" w:customStyle="1" w:styleId="EstiloImportado1">
    <w:name w:val="Estilo Importado 1"/>
    <w:rsid w:val="005F277D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0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7154">
          <w:blockQuote w:val="1"/>
          <w:marLeft w:val="0"/>
          <w:marRight w:val="0"/>
          <w:marTop w:val="384"/>
          <w:marBottom w:val="384"/>
          <w:divBdr>
            <w:top w:val="single" w:sz="24" w:space="0" w:color="auto"/>
            <w:left w:val="single" w:sz="24" w:space="12" w:color="auto"/>
            <w:bottom w:val="single" w:sz="24" w:space="0" w:color="auto"/>
            <w:right w:val="single" w:sz="24" w:space="0" w:color="auto"/>
          </w:divBdr>
        </w:div>
      </w:divsChild>
    </w:div>
    <w:div w:id="5909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2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1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39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64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9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1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0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66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5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7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66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3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15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2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0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7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3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56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8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8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6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1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0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39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7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3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29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0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1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6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1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4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69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06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0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3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8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2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77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2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9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2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98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9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7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8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15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8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BD1A06-98E9-FF47-B732-D6F96800F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1162</Words>
  <Characters>6280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</dc:creator>
  <cp:keywords/>
  <dc:description/>
  <cp:lastModifiedBy>VALÉRIA PESSOA</cp:lastModifiedBy>
  <cp:revision>3</cp:revision>
  <cp:lastPrinted>2026-03-09T20:03:00Z</cp:lastPrinted>
  <dcterms:created xsi:type="dcterms:W3CDTF">2026-03-09T20:03:00Z</dcterms:created>
  <dcterms:modified xsi:type="dcterms:W3CDTF">2026-03-09T20:26:00Z</dcterms:modified>
</cp:coreProperties>
</file>