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F763" w14:textId="5129BCA4" w:rsidR="005C1309" w:rsidRPr="00EE5FB8" w:rsidRDefault="00A67A7D" w:rsidP="00030CE1">
      <w:pPr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 xml:space="preserve">INTERPRETACIONES </w:t>
      </w:r>
      <w:r w:rsidRPr="00EE5FB8">
        <w:rPr>
          <w:b/>
          <w:bCs/>
          <w:color w:val="0070C0"/>
        </w:rPr>
        <w:t>–</w:t>
      </w:r>
      <w:r w:rsidR="00030CE1" w:rsidRPr="00EE5FB8">
        <w:rPr>
          <w:b/>
          <w:bCs/>
          <w:color w:val="0070C0"/>
        </w:rPr>
        <w:t xml:space="preserve"> PROBLEMA 18 – VALERIA AGUILERA</w:t>
      </w:r>
    </w:p>
    <w:p w14:paraId="3AECDF40" w14:textId="77777777" w:rsidR="00030CE1" w:rsidRDefault="00030CE1" w:rsidP="00030CE1"/>
    <w:p w14:paraId="0BFE2323" w14:textId="58511DB0" w:rsidR="00030CE1" w:rsidRPr="008E4695" w:rsidRDefault="00030CE1" w:rsidP="008E4695">
      <w:pPr>
        <w:jc w:val="center"/>
        <w:rPr>
          <w:b/>
          <w:bCs/>
          <w:color w:val="0F9ED5" w:themeColor="accent4"/>
        </w:rPr>
      </w:pPr>
      <w:r w:rsidRPr="008E4695">
        <w:rPr>
          <w:b/>
          <w:bCs/>
          <w:color w:val="0F9ED5" w:themeColor="accent4"/>
        </w:rPr>
        <w:t>Pruebas de Estacionariedad (ADF y KPSS)</w:t>
      </w:r>
    </w:p>
    <w:p w14:paraId="44C84D3C" w14:textId="77777777" w:rsidR="00030CE1" w:rsidRPr="008E4695" w:rsidRDefault="00030CE1" w:rsidP="00030CE1">
      <w:pPr>
        <w:rPr>
          <w:b/>
          <w:bCs/>
        </w:rPr>
      </w:pPr>
      <w:r w:rsidRPr="008E4695">
        <w:rPr>
          <w:b/>
          <w:bCs/>
        </w:rPr>
        <w:t>ADF (</w:t>
      </w:r>
      <w:proofErr w:type="spellStart"/>
      <w:r w:rsidRPr="008E4695">
        <w:rPr>
          <w:b/>
          <w:bCs/>
        </w:rPr>
        <w:t>Augmented</w:t>
      </w:r>
      <w:proofErr w:type="spellEnd"/>
      <w:r w:rsidRPr="008E4695">
        <w:rPr>
          <w:b/>
          <w:bCs/>
        </w:rPr>
        <w:t xml:space="preserve"> </w:t>
      </w:r>
      <w:proofErr w:type="spellStart"/>
      <w:r w:rsidRPr="008E4695">
        <w:rPr>
          <w:b/>
          <w:bCs/>
        </w:rPr>
        <w:t>Dickey</w:t>
      </w:r>
      <w:proofErr w:type="spellEnd"/>
      <w:r w:rsidRPr="008E4695">
        <w:rPr>
          <w:b/>
          <w:bCs/>
        </w:rPr>
        <w:t>-Fuller):</w:t>
      </w:r>
    </w:p>
    <w:p w14:paraId="074C55AC" w14:textId="77777777" w:rsidR="00030CE1" w:rsidRDefault="00030CE1" w:rsidP="00697C59">
      <w:pPr>
        <w:pStyle w:val="ListParagraph"/>
        <w:numPr>
          <w:ilvl w:val="0"/>
          <w:numId w:val="13"/>
        </w:numPr>
      </w:pPr>
      <w:r>
        <w:t>Estadístico: -1.4407, p-valor: 0.5626</w:t>
      </w:r>
    </w:p>
    <w:p w14:paraId="167F5C89" w14:textId="77777777" w:rsidR="00030CE1" w:rsidRPr="00697C59" w:rsidRDefault="00030CE1" w:rsidP="00697C59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Interpretación: p-valor &gt; 0.05 → </w:t>
      </w:r>
      <w:r w:rsidRPr="00697C59">
        <w:rPr>
          <w:b/>
          <w:bCs/>
        </w:rPr>
        <w:t>No estacionaria según ADF.</w:t>
      </w:r>
    </w:p>
    <w:p w14:paraId="0BBEC6AB" w14:textId="77777777" w:rsidR="00030CE1" w:rsidRPr="008E4695" w:rsidRDefault="00030CE1" w:rsidP="00030CE1">
      <w:pPr>
        <w:rPr>
          <w:b/>
          <w:bCs/>
          <w:lang w:val="en-US"/>
        </w:rPr>
      </w:pPr>
      <w:r w:rsidRPr="008E4695">
        <w:rPr>
          <w:b/>
          <w:bCs/>
          <w:lang w:val="en-US"/>
        </w:rPr>
        <w:t>KPSS (Kwiatkowski-Phillips-Schmidt-Shin):</w:t>
      </w:r>
    </w:p>
    <w:p w14:paraId="71A74FC8" w14:textId="77777777" w:rsidR="00030CE1" w:rsidRDefault="00030CE1" w:rsidP="00697C59">
      <w:pPr>
        <w:pStyle w:val="ListParagraph"/>
        <w:numPr>
          <w:ilvl w:val="0"/>
          <w:numId w:val="12"/>
        </w:numPr>
      </w:pPr>
      <w:r>
        <w:t>Estadístico: 1.5566, p-valor: 0.0100</w:t>
      </w:r>
    </w:p>
    <w:p w14:paraId="3AAC8D83" w14:textId="77777777" w:rsidR="00030CE1" w:rsidRDefault="00030CE1" w:rsidP="00697C59">
      <w:pPr>
        <w:pStyle w:val="ListParagraph"/>
        <w:numPr>
          <w:ilvl w:val="0"/>
          <w:numId w:val="12"/>
        </w:numPr>
      </w:pPr>
      <w:r>
        <w:t xml:space="preserve">Interpretación: p-valor &lt; 0.05 → </w:t>
      </w:r>
      <w:r w:rsidRPr="00697C59">
        <w:rPr>
          <w:b/>
          <w:bCs/>
        </w:rPr>
        <w:t>No estacionaria según KPSS.</w:t>
      </w:r>
    </w:p>
    <w:p w14:paraId="048D3DEF" w14:textId="0E61984E" w:rsidR="00910B92" w:rsidRPr="008E4695" w:rsidRDefault="00030CE1" w:rsidP="008E4695">
      <w:pPr>
        <w:jc w:val="both"/>
      </w:pPr>
      <w:r w:rsidRPr="00030CE1">
        <w:rPr>
          <w:b/>
          <w:bCs/>
        </w:rPr>
        <w:t>Conclusión:</w:t>
      </w:r>
      <w:r>
        <w:t xml:space="preserve"> </w:t>
      </w:r>
      <w:r w:rsidR="008E4695" w:rsidRPr="008E4695">
        <w:t>Ambas pruebas coinciden en que la serie original no es estacionaria, lo que implica que presenta tendencia o cambios en la media/varianza a lo largo del tiempo.</w:t>
      </w:r>
      <w:r w:rsidR="008E4695">
        <w:t xml:space="preserve"> </w:t>
      </w:r>
      <w:r w:rsidR="008E4695" w:rsidRPr="008E4695">
        <w:t>Para aplicar modelos ARIMA, es necesario diferenciar la serie (d ≥ 1) hasta lograr estacionariedad, condición fundamental para la validez del modelo.</w:t>
      </w:r>
    </w:p>
    <w:p w14:paraId="6BD3C9E4" w14:textId="77777777" w:rsidR="00383179" w:rsidRDefault="00383179" w:rsidP="008E4695">
      <w:pPr>
        <w:jc w:val="center"/>
        <w:rPr>
          <w:b/>
          <w:bCs/>
          <w:color w:val="0F9ED5" w:themeColor="accent4"/>
        </w:rPr>
      </w:pPr>
    </w:p>
    <w:p w14:paraId="08728059" w14:textId="2E221030" w:rsidR="00910B92" w:rsidRPr="008E4695" w:rsidRDefault="008E4695" w:rsidP="008E4695">
      <w:pPr>
        <w:jc w:val="center"/>
        <w:rPr>
          <w:b/>
          <w:bCs/>
          <w:color w:val="0F9ED5" w:themeColor="accent4"/>
        </w:rPr>
      </w:pPr>
      <w:r w:rsidRPr="008E4695">
        <w:rPr>
          <w:b/>
          <w:bCs/>
          <w:color w:val="0F9ED5" w:themeColor="accent4"/>
        </w:rPr>
        <w:t>Pruebas ACF &amp; PACF</w:t>
      </w:r>
    </w:p>
    <w:p w14:paraId="70685445" w14:textId="77777777" w:rsidR="00697C59" w:rsidRDefault="00697C59" w:rsidP="00697C59">
      <w:pPr>
        <w:rPr>
          <w:b/>
          <w:bCs/>
        </w:rPr>
      </w:pPr>
      <w:r w:rsidRPr="00697C59">
        <w:rPr>
          <w:b/>
          <w:bCs/>
        </w:rPr>
        <w:t>ACF (</w:t>
      </w:r>
      <w:proofErr w:type="spellStart"/>
      <w:r w:rsidRPr="00697C59">
        <w:rPr>
          <w:b/>
          <w:bCs/>
        </w:rPr>
        <w:t>Autocorrelation</w:t>
      </w:r>
      <w:proofErr w:type="spellEnd"/>
      <w:r w:rsidRPr="00697C59">
        <w:rPr>
          <w:b/>
          <w:bCs/>
        </w:rPr>
        <w:t xml:space="preserve"> </w:t>
      </w:r>
      <w:proofErr w:type="spellStart"/>
      <w:r w:rsidRPr="00697C59">
        <w:rPr>
          <w:b/>
          <w:bCs/>
        </w:rPr>
        <w:t>Function</w:t>
      </w:r>
      <w:proofErr w:type="spellEnd"/>
      <w:r w:rsidRPr="00697C59">
        <w:rPr>
          <w:b/>
          <w:bCs/>
        </w:rPr>
        <w:t>):</w:t>
      </w:r>
    </w:p>
    <w:p w14:paraId="50B670F4" w14:textId="02181E01" w:rsidR="00697C59" w:rsidRPr="00697C59" w:rsidRDefault="00697C59" w:rsidP="00697C59">
      <w:pPr>
        <w:rPr>
          <w:b/>
          <w:bCs/>
        </w:rPr>
      </w:pPr>
      <w:r w:rsidRPr="00030CE1">
        <w:t xml:space="preserve">Muestra una disminución lenta → indica </w:t>
      </w:r>
      <w:r w:rsidRPr="00697C59">
        <w:rPr>
          <w:b/>
          <w:bCs/>
        </w:rPr>
        <w:t>tendencia</w:t>
      </w:r>
      <w:r w:rsidRPr="00030CE1">
        <w:t>, no estacionaria.</w:t>
      </w:r>
    </w:p>
    <w:p w14:paraId="6D75D25A" w14:textId="77777777" w:rsidR="00697C59" w:rsidRPr="00697C59" w:rsidRDefault="00697C59" w:rsidP="00697C59">
      <w:r w:rsidRPr="00697C59">
        <w:t>La función de autocorrelación muestra una disminución lenta y persistente, lo que indica la presencia de tendencia en la serie y confirma que no es estacionaria en su forma original. Este patrón es típico de series con raíz unitaria.</w:t>
      </w:r>
    </w:p>
    <w:p w14:paraId="7A3103B0" w14:textId="77777777" w:rsidR="00697C59" w:rsidRDefault="00697C59" w:rsidP="00697C59">
      <w:pPr>
        <w:rPr>
          <w:b/>
          <w:bCs/>
        </w:rPr>
      </w:pPr>
      <w:r w:rsidRPr="00697C59">
        <w:rPr>
          <w:b/>
          <w:bCs/>
        </w:rPr>
        <w:t>PACF (</w:t>
      </w:r>
      <w:proofErr w:type="spellStart"/>
      <w:r w:rsidRPr="00697C59">
        <w:rPr>
          <w:b/>
          <w:bCs/>
        </w:rPr>
        <w:t>Partial</w:t>
      </w:r>
      <w:proofErr w:type="spellEnd"/>
      <w:r w:rsidRPr="00697C59">
        <w:rPr>
          <w:b/>
          <w:bCs/>
        </w:rPr>
        <w:t xml:space="preserve"> </w:t>
      </w:r>
      <w:proofErr w:type="spellStart"/>
      <w:r w:rsidRPr="00697C59">
        <w:rPr>
          <w:b/>
          <w:bCs/>
        </w:rPr>
        <w:t>Autocorrelation</w:t>
      </w:r>
      <w:proofErr w:type="spellEnd"/>
      <w:r w:rsidRPr="00697C59">
        <w:rPr>
          <w:b/>
          <w:bCs/>
        </w:rPr>
        <w:t xml:space="preserve"> </w:t>
      </w:r>
      <w:proofErr w:type="spellStart"/>
      <w:r w:rsidRPr="00697C59">
        <w:rPr>
          <w:b/>
          <w:bCs/>
        </w:rPr>
        <w:t>Function</w:t>
      </w:r>
      <w:proofErr w:type="spellEnd"/>
      <w:r w:rsidRPr="00697C59">
        <w:rPr>
          <w:b/>
          <w:bCs/>
        </w:rPr>
        <w:t>):</w:t>
      </w:r>
    </w:p>
    <w:p w14:paraId="33367BCE" w14:textId="4C3853F8" w:rsidR="00697C59" w:rsidRPr="00697C59" w:rsidRDefault="00697C59" w:rsidP="00697C59">
      <w:pPr>
        <w:rPr>
          <w:b/>
          <w:bCs/>
        </w:rPr>
      </w:pPr>
      <w:r w:rsidRPr="00030CE1">
        <w:t xml:space="preserve">Primer rezago significativo → sugiere </w:t>
      </w:r>
      <w:proofErr w:type="gramStart"/>
      <w:r w:rsidRPr="00697C59">
        <w:rPr>
          <w:b/>
          <w:bCs/>
        </w:rPr>
        <w:t>AR(</w:t>
      </w:r>
      <w:proofErr w:type="gramEnd"/>
      <w:r w:rsidRPr="00697C59">
        <w:rPr>
          <w:b/>
          <w:bCs/>
        </w:rPr>
        <w:t>1)</w:t>
      </w:r>
      <w:r w:rsidRPr="00030CE1">
        <w:t>.</w:t>
      </w:r>
    </w:p>
    <w:p w14:paraId="39FE3660" w14:textId="45676229" w:rsidR="00697C59" w:rsidRPr="00697C59" w:rsidRDefault="00697C59" w:rsidP="00697C59">
      <w:r w:rsidRPr="00697C59">
        <w:t>El primer rezago es altamente significativo y los siguientes caen rápidamente dentro del intervalo de confianza. Esto sugiere que la componente autorregresiva dominante es de orden 1 (</w:t>
      </w:r>
      <w:proofErr w:type="gramStart"/>
      <w:r w:rsidRPr="00697C59">
        <w:t>AR(</w:t>
      </w:r>
      <w:proofErr w:type="gramEnd"/>
      <w:r w:rsidRPr="00697C59">
        <w:t>1)).</w:t>
      </w:r>
    </w:p>
    <w:p w14:paraId="4E392950" w14:textId="63972F4B" w:rsidR="00697C59" w:rsidRDefault="00030CE1" w:rsidP="00030CE1">
      <w:r w:rsidRPr="00030CE1">
        <w:rPr>
          <w:b/>
          <w:bCs/>
        </w:rPr>
        <w:t>Conclusión:</w:t>
      </w:r>
      <w:r w:rsidRPr="00030CE1">
        <w:t xml:space="preserve"> La estructura sugiere un modelo </w:t>
      </w:r>
      <w:r w:rsidRPr="00030CE1">
        <w:rPr>
          <w:b/>
          <w:bCs/>
        </w:rPr>
        <w:t>ARIMA con p=1, d=1, q≈1</w:t>
      </w:r>
      <w:r w:rsidRPr="00030CE1">
        <w:t>.</w:t>
      </w:r>
    </w:p>
    <w:p w14:paraId="6BACE9EE" w14:textId="09E9E585" w:rsidR="00697C59" w:rsidRDefault="00383179" w:rsidP="00030CE1">
      <w:r w:rsidRPr="00383179">
        <w:lastRenderedPageBreak/>
        <w:drawing>
          <wp:inline distT="0" distB="0" distL="0" distR="0" wp14:anchorId="6D16E73F" wp14:editId="4D4A155B">
            <wp:extent cx="5612130" cy="3318510"/>
            <wp:effectExtent l="0" t="0" r="7620" b="0"/>
            <wp:docPr id="1974510382" name="Picture 1" descr="A diagram of a log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10382" name="Picture 1" descr="A diagram of a log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E376" w14:textId="77777777" w:rsidR="00697C59" w:rsidRDefault="00697C59" w:rsidP="00030CE1"/>
    <w:p w14:paraId="71B26491" w14:textId="77777777" w:rsidR="00EE5FB8" w:rsidRPr="00EE5FB8" w:rsidRDefault="00EE5FB8" w:rsidP="00383179">
      <w:pPr>
        <w:jc w:val="center"/>
        <w:rPr>
          <w:b/>
          <w:bCs/>
          <w:color w:val="0F9ED5" w:themeColor="accent4"/>
        </w:rPr>
      </w:pPr>
      <w:r w:rsidRPr="00EE5FB8">
        <w:rPr>
          <w:b/>
          <w:bCs/>
          <w:color w:val="0F9ED5" w:themeColor="accent4"/>
        </w:rPr>
        <w:t>Selección del Modelo ARIMA</w:t>
      </w:r>
    </w:p>
    <w:p w14:paraId="63C90B5B" w14:textId="77777777" w:rsidR="00EE5FB8" w:rsidRPr="00EE5FB8" w:rsidRDefault="00EE5FB8" w:rsidP="00EE5FB8">
      <w:pPr>
        <w:numPr>
          <w:ilvl w:val="0"/>
          <w:numId w:val="5"/>
        </w:numPr>
      </w:pPr>
      <w:r w:rsidRPr="00EE5FB8">
        <w:t xml:space="preserve">Mejor modelo según AIC: </w:t>
      </w:r>
      <w:proofErr w:type="gramStart"/>
      <w:r w:rsidRPr="00EE5FB8">
        <w:rPr>
          <w:b/>
          <w:bCs/>
        </w:rPr>
        <w:t>ARIMA(</w:t>
      </w:r>
      <w:proofErr w:type="gramEnd"/>
      <w:r w:rsidRPr="00EE5FB8">
        <w:rPr>
          <w:b/>
          <w:bCs/>
        </w:rPr>
        <w:t>1,1,1)</w:t>
      </w:r>
      <w:r w:rsidRPr="00EE5FB8">
        <w:t xml:space="preserve"> con AIC = </w:t>
      </w:r>
      <w:r w:rsidRPr="00EE5FB8">
        <w:rPr>
          <w:b/>
          <w:bCs/>
        </w:rPr>
        <w:t>-680.33</w:t>
      </w:r>
      <w:r w:rsidRPr="00EE5FB8">
        <w:t>.</w:t>
      </w:r>
    </w:p>
    <w:p w14:paraId="32C5857D" w14:textId="77777777" w:rsidR="00EE5FB8" w:rsidRPr="00EE5FB8" w:rsidRDefault="00EE5FB8" w:rsidP="00EE5FB8">
      <w:pPr>
        <w:numPr>
          <w:ilvl w:val="0"/>
          <w:numId w:val="5"/>
        </w:numPr>
      </w:pPr>
      <w:r w:rsidRPr="00EE5FB8">
        <w:rPr>
          <w:b/>
          <w:bCs/>
        </w:rPr>
        <w:t>Interpretación de parámetros:</w:t>
      </w:r>
      <w:r w:rsidRPr="00EE5FB8">
        <w:t xml:space="preserve"> </w:t>
      </w:r>
    </w:p>
    <w:p w14:paraId="5E9EE7AC" w14:textId="77777777" w:rsidR="00EE5FB8" w:rsidRPr="00EE5FB8" w:rsidRDefault="00EE5FB8" w:rsidP="00EE5FB8">
      <w:pPr>
        <w:pStyle w:val="ListParagraph"/>
        <w:numPr>
          <w:ilvl w:val="1"/>
          <w:numId w:val="5"/>
        </w:numPr>
      </w:pPr>
      <w:proofErr w:type="gramStart"/>
      <w:r w:rsidRPr="00EE5FB8">
        <w:rPr>
          <w:b/>
          <w:bCs/>
        </w:rPr>
        <w:t>AR(</w:t>
      </w:r>
      <w:proofErr w:type="gramEnd"/>
      <w:r w:rsidRPr="00EE5FB8">
        <w:rPr>
          <w:b/>
          <w:bCs/>
        </w:rPr>
        <w:t>1):</w:t>
      </w:r>
      <w:r w:rsidRPr="00EE5FB8">
        <w:t xml:space="preserve"> 0.9997 (muy cercano a 1, fuerte persistencia).</w:t>
      </w:r>
    </w:p>
    <w:p w14:paraId="112A9478" w14:textId="77777777" w:rsidR="00EE5FB8" w:rsidRPr="00EE5FB8" w:rsidRDefault="00EE5FB8" w:rsidP="00EE5FB8">
      <w:pPr>
        <w:pStyle w:val="ListParagraph"/>
        <w:numPr>
          <w:ilvl w:val="1"/>
          <w:numId w:val="5"/>
        </w:numPr>
      </w:pPr>
      <w:proofErr w:type="gramStart"/>
      <w:r w:rsidRPr="00EE5FB8">
        <w:rPr>
          <w:b/>
          <w:bCs/>
        </w:rPr>
        <w:t>MA(</w:t>
      </w:r>
      <w:proofErr w:type="gramEnd"/>
      <w:r w:rsidRPr="00EE5FB8">
        <w:rPr>
          <w:b/>
          <w:bCs/>
        </w:rPr>
        <w:t>1):</w:t>
      </w:r>
      <w:r w:rsidRPr="00EE5FB8">
        <w:t xml:space="preserve"> -0.9852 (compensa shocks pasados).</w:t>
      </w:r>
    </w:p>
    <w:p w14:paraId="298E710C" w14:textId="62825EDD" w:rsidR="00EE5FB8" w:rsidRPr="00EE5FB8" w:rsidRDefault="00D63150" w:rsidP="00EE5FB8">
      <w:pPr>
        <w:numPr>
          <w:ilvl w:val="0"/>
          <w:numId w:val="5"/>
        </w:numPr>
      </w:pPr>
      <w:r w:rsidRPr="00383179">
        <w:rPr>
          <w:b/>
          <w:bCs/>
        </w:rPr>
        <w:drawing>
          <wp:anchor distT="0" distB="0" distL="114300" distR="114300" simplePos="0" relativeHeight="251658240" behindDoc="0" locked="0" layoutInCell="1" allowOverlap="1" wp14:anchorId="26EAEBAB" wp14:editId="367EA3F5">
            <wp:simplePos x="0" y="0"/>
            <wp:positionH relativeFrom="column">
              <wp:posOffset>50800</wp:posOffset>
            </wp:positionH>
            <wp:positionV relativeFrom="paragraph">
              <wp:posOffset>357099</wp:posOffset>
            </wp:positionV>
            <wp:extent cx="5830441" cy="2641600"/>
            <wp:effectExtent l="0" t="0" r="0" b="6350"/>
            <wp:wrapThrough wrapText="bothSides">
              <wp:wrapPolygon edited="0">
                <wp:start x="0" y="0"/>
                <wp:lineTo x="0" y="21496"/>
                <wp:lineTo x="21527" y="21496"/>
                <wp:lineTo x="21527" y="0"/>
                <wp:lineTo x="0" y="0"/>
              </wp:wrapPolygon>
            </wp:wrapThrough>
            <wp:docPr id="1014328202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28202" name="Picture 1" descr="A graph with a li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441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5FB8" w:rsidRPr="00EE5FB8">
        <w:rPr>
          <w:b/>
          <w:bCs/>
        </w:rPr>
        <w:t>Significancia:</w:t>
      </w:r>
      <w:r w:rsidR="00EE5FB8" w:rsidRPr="00EE5FB8">
        <w:t xml:space="preserve"> Ambos coeficientes son altamente significativos (p &lt; 0.001).</w:t>
      </w:r>
    </w:p>
    <w:p w14:paraId="03307416" w14:textId="77777777" w:rsidR="00383179" w:rsidRPr="00383179" w:rsidRDefault="00383179" w:rsidP="00383179">
      <w:pPr>
        <w:jc w:val="both"/>
      </w:pPr>
      <w:r w:rsidRPr="00383179">
        <w:lastRenderedPageBreak/>
        <w:t xml:space="preserve">El gráfico muestra la serie original (en azul) y el pronóstico generado por el modelo </w:t>
      </w:r>
      <w:proofErr w:type="gramStart"/>
      <w:r w:rsidRPr="00383179">
        <w:t>ARIMA(</w:t>
      </w:r>
      <w:proofErr w:type="gramEnd"/>
      <w:r w:rsidRPr="00383179">
        <w:t>1,1,1) (en verde), junto con su intervalo de confianza (área sombreada).</w:t>
      </w:r>
    </w:p>
    <w:p w14:paraId="74E212AE" w14:textId="77777777" w:rsidR="00383179" w:rsidRPr="00383179" w:rsidRDefault="00383179" w:rsidP="00383179">
      <w:pPr>
        <w:pStyle w:val="ListParagraph"/>
        <w:numPr>
          <w:ilvl w:val="0"/>
          <w:numId w:val="15"/>
        </w:numPr>
        <w:jc w:val="both"/>
      </w:pPr>
      <w:r w:rsidRPr="00383179">
        <w:rPr>
          <w:b/>
          <w:bCs/>
        </w:rPr>
        <w:t>Tendencia:</w:t>
      </w:r>
      <w:r w:rsidRPr="00383179">
        <w:t xml:space="preserve"> El pronóstico mantiene la trayectoria ascendente observada en la serie histórica, lo que indica crecimiento sostenido en el log DPI.</w:t>
      </w:r>
    </w:p>
    <w:p w14:paraId="1FF3A13D" w14:textId="77777777" w:rsidR="00383179" w:rsidRPr="00383179" w:rsidRDefault="00383179" w:rsidP="00383179">
      <w:pPr>
        <w:pStyle w:val="ListParagraph"/>
        <w:numPr>
          <w:ilvl w:val="0"/>
          <w:numId w:val="15"/>
        </w:numPr>
        <w:jc w:val="both"/>
      </w:pPr>
      <w:r w:rsidRPr="00383179">
        <w:rPr>
          <w:b/>
          <w:bCs/>
        </w:rPr>
        <w:t>Magnitud del cambio:</w:t>
      </w:r>
      <w:r w:rsidRPr="00383179">
        <w:t xml:space="preserve"> El incremento proyectado es moderado, consistente con la dinámica previa, sin señales de reversión.</w:t>
      </w:r>
    </w:p>
    <w:p w14:paraId="607D6DA9" w14:textId="77777777" w:rsidR="00383179" w:rsidRPr="00383179" w:rsidRDefault="00383179" w:rsidP="00383179">
      <w:pPr>
        <w:pStyle w:val="ListParagraph"/>
        <w:numPr>
          <w:ilvl w:val="0"/>
          <w:numId w:val="15"/>
        </w:numPr>
        <w:jc w:val="both"/>
      </w:pPr>
      <w:r w:rsidRPr="00383179">
        <w:rPr>
          <w:b/>
          <w:bCs/>
        </w:rPr>
        <w:t>Intervalo de confianza:</w:t>
      </w:r>
      <w:r w:rsidRPr="00383179">
        <w:t xml:space="preserve"> El rango es estrecho, lo que refleja alta precisión del modelo y baja incertidumbre en el corto plazo.</w:t>
      </w:r>
    </w:p>
    <w:p w14:paraId="46E4D7B1" w14:textId="699EB478" w:rsidR="00383179" w:rsidRPr="00383179" w:rsidRDefault="00383179" w:rsidP="00383179">
      <w:pPr>
        <w:pStyle w:val="ListParagraph"/>
        <w:numPr>
          <w:ilvl w:val="0"/>
          <w:numId w:val="15"/>
        </w:numPr>
        <w:jc w:val="both"/>
      </w:pPr>
      <w:r w:rsidRPr="00383179">
        <w:rPr>
          <w:b/>
          <w:bCs/>
        </w:rPr>
        <w:t>Implicación:</w:t>
      </w:r>
      <w:r>
        <w:t xml:space="preserve"> </w:t>
      </w:r>
      <w:r w:rsidRPr="00383179">
        <w:t>El modelo captura adecuadamente la tendencia y sugiere estabilidad en el crecimiento, lo que lo convierte en una herramienta confiable para proyecciones a corto plazo.</w:t>
      </w:r>
    </w:p>
    <w:p w14:paraId="609316BB" w14:textId="77777777" w:rsidR="00383179" w:rsidRPr="00383179" w:rsidRDefault="00383179" w:rsidP="00383179">
      <w:pPr>
        <w:jc w:val="center"/>
        <w:rPr>
          <w:b/>
          <w:bCs/>
          <w:color w:val="0F9ED5" w:themeColor="accent4"/>
        </w:rPr>
      </w:pPr>
    </w:p>
    <w:p w14:paraId="181F89B7" w14:textId="40B9D797" w:rsidR="00EE5FB8" w:rsidRPr="00EE5FB8" w:rsidRDefault="00EE5FB8" w:rsidP="00383179">
      <w:pPr>
        <w:jc w:val="center"/>
        <w:rPr>
          <w:b/>
          <w:bCs/>
          <w:color w:val="0F9ED5" w:themeColor="accent4"/>
        </w:rPr>
      </w:pPr>
      <w:r w:rsidRPr="00EE5FB8">
        <w:rPr>
          <w:b/>
          <w:bCs/>
          <w:color w:val="0F9ED5" w:themeColor="accent4"/>
        </w:rPr>
        <w:t>Modelo ARMA (d=0)</w:t>
      </w:r>
    </w:p>
    <w:p w14:paraId="0CF2FA3D" w14:textId="77777777" w:rsidR="00EE5FB8" w:rsidRPr="00EE5FB8" w:rsidRDefault="00EE5FB8" w:rsidP="00EE5FB8">
      <w:pPr>
        <w:pStyle w:val="ListParagraph"/>
        <w:numPr>
          <w:ilvl w:val="0"/>
          <w:numId w:val="7"/>
        </w:numPr>
      </w:pPr>
      <w:r w:rsidRPr="00EE5FB8">
        <w:t xml:space="preserve">Ajuste: </w:t>
      </w:r>
      <w:proofErr w:type="gramStart"/>
      <w:r w:rsidRPr="00EE5FB8">
        <w:t>ARIMA(</w:t>
      </w:r>
      <w:proofErr w:type="gramEnd"/>
      <w:r w:rsidRPr="00EE5FB8">
        <w:t xml:space="preserve">1,0,1) con AIC = </w:t>
      </w:r>
      <w:r w:rsidRPr="00EE5FB8">
        <w:rPr>
          <w:b/>
          <w:bCs/>
        </w:rPr>
        <w:t>-654.01</w:t>
      </w:r>
      <w:r w:rsidRPr="00EE5FB8">
        <w:t xml:space="preserve"> (peor que ARIMA).</w:t>
      </w:r>
    </w:p>
    <w:p w14:paraId="6076B7F2" w14:textId="77777777" w:rsidR="00EE5FB8" w:rsidRPr="00EE5FB8" w:rsidRDefault="00EE5FB8" w:rsidP="00EE5FB8">
      <w:pPr>
        <w:pStyle w:val="ListParagraph"/>
        <w:numPr>
          <w:ilvl w:val="0"/>
          <w:numId w:val="7"/>
        </w:numPr>
      </w:pPr>
      <w:r w:rsidRPr="00EE5FB8">
        <w:t xml:space="preserve">Coeficientes: </w:t>
      </w:r>
    </w:p>
    <w:p w14:paraId="457BAB2F" w14:textId="77777777" w:rsidR="00EE5FB8" w:rsidRPr="00EE5FB8" w:rsidRDefault="00EE5FB8" w:rsidP="00EE5FB8">
      <w:pPr>
        <w:pStyle w:val="ListParagraph"/>
        <w:numPr>
          <w:ilvl w:val="1"/>
          <w:numId w:val="7"/>
        </w:numPr>
      </w:pPr>
      <w:proofErr w:type="gramStart"/>
      <w:r w:rsidRPr="00EE5FB8">
        <w:t>AR(</w:t>
      </w:r>
      <w:proofErr w:type="gramEnd"/>
      <w:r w:rsidRPr="00EE5FB8">
        <w:t>1): 0.9906</w:t>
      </w:r>
    </w:p>
    <w:p w14:paraId="346315F9" w14:textId="77777777" w:rsidR="00EE5FB8" w:rsidRPr="00EE5FB8" w:rsidRDefault="00EE5FB8" w:rsidP="00EE5FB8">
      <w:pPr>
        <w:pStyle w:val="ListParagraph"/>
        <w:numPr>
          <w:ilvl w:val="1"/>
          <w:numId w:val="7"/>
        </w:numPr>
      </w:pPr>
      <w:proofErr w:type="gramStart"/>
      <w:r w:rsidRPr="00EE5FB8">
        <w:t>MA(</w:t>
      </w:r>
      <w:proofErr w:type="gramEnd"/>
      <w:r w:rsidRPr="00EE5FB8">
        <w:t>1): 0.1767</w:t>
      </w:r>
    </w:p>
    <w:p w14:paraId="584EBA83" w14:textId="69E15167" w:rsidR="00EE5FB8" w:rsidRDefault="00D63150" w:rsidP="00EE5FB8">
      <w:pPr>
        <w:numPr>
          <w:ilvl w:val="0"/>
          <w:numId w:val="6"/>
        </w:numPr>
      </w:pPr>
      <w:r w:rsidRPr="00D63150">
        <w:drawing>
          <wp:anchor distT="0" distB="0" distL="114300" distR="114300" simplePos="0" relativeHeight="251659264" behindDoc="0" locked="0" layoutInCell="1" allowOverlap="1" wp14:anchorId="6C9A4F2B" wp14:editId="7A1D5A34">
            <wp:simplePos x="0" y="0"/>
            <wp:positionH relativeFrom="column">
              <wp:posOffset>132080</wp:posOffset>
            </wp:positionH>
            <wp:positionV relativeFrom="paragraph">
              <wp:posOffset>453390</wp:posOffset>
            </wp:positionV>
            <wp:extent cx="5802630" cy="2584450"/>
            <wp:effectExtent l="0" t="0" r="7620" b="6350"/>
            <wp:wrapThrough wrapText="bothSides">
              <wp:wrapPolygon edited="0">
                <wp:start x="0" y="0"/>
                <wp:lineTo x="0" y="21494"/>
                <wp:lineTo x="21557" y="21494"/>
                <wp:lineTo x="21557" y="0"/>
                <wp:lineTo x="0" y="0"/>
              </wp:wrapPolygon>
            </wp:wrapThrough>
            <wp:docPr id="1316930281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30281" name="Picture 1" descr="A graph with a li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5FB8" w:rsidRPr="00EE5FB8">
        <w:rPr>
          <w:b/>
          <w:bCs/>
        </w:rPr>
        <w:t>Conclusión:</w:t>
      </w:r>
      <w:r w:rsidR="00EE5FB8" w:rsidRPr="00EE5FB8">
        <w:t xml:space="preserve"> ARMA no captura bien la tendencia → menos adecuado.</w:t>
      </w:r>
    </w:p>
    <w:p w14:paraId="482DD567" w14:textId="6BB992E1" w:rsidR="00D63150" w:rsidRPr="00D63150" w:rsidRDefault="00D63150" w:rsidP="00D63150">
      <w:pPr>
        <w:jc w:val="both"/>
      </w:pPr>
      <w:r w:rsidRPr="00D63150">
        <w:t>El gráfico muestra la serie original (en azul) y el pronóstico generado por el modelo ARMA</w:t>
      </w:r>
      <w:r>
        <w:t xml:space="preserve"> </w:t>
      </w:r>
      <w:r w:rsidRPr="00D63150">
        <w:t>(1,0,1) (en naranja), junto con su intervalo de confianza (área sombreada).</w:t>
      </w:r>
    </w:p>
    <w:p w14:paraId="21609AD3" w14:textId="77777777" w:rsidR="00D63150" w:rsidRPr="00D63150" w:rsidRDefault="00D63150" w:rsidP="00D63150">
      <w:pPr>
        <w:pStyle w:val="ListParagraph"/>
        <w:numPr>
          <w:ilvl w:val="0"/>
          <w:numId w:val="6"/>
        </w:numPr>
        <w:jc w:val="both"/>
      </w:pPr>
      <w:r w:rsidRPr="00D63150">
        <w:rPr>
          <w:b/>
          <w:bCs/>
        </w:rPr>
        <w:lastRenderedPageBreak/>
        <w:t>Tendencia:</w:t>
      </w:r>
      <w:r w:rsidRPr="00D63150">
        <w:t xml:space="preserve"> El pronóstico sigue la trayectoria ascendente observada en la serie, pero con menor ajuste respecto al modelo ARIMA, ya que no incorpora diferenciación para corregir la no estacionariedad.</w:t>
      </w:r>
    </w:p>
    <w:p w14:paraId="1220524B" w14:textId="77777777" w:rsidR="00D63150" w:rsidRPr="00D63150" w:rsidRDefault="00D63150" w:rsidP="00D63150">
      <w:pPr>
        <w:pStyle w:val="ListParagraph"/>
        <w:numPr>
          <w:ilvl w:val="0"/>
          <w:numId w:val="6"/>
        </w:numPr>
        <w:jc w:val="both"/>
      </w:pPr>
      <w:r w:rsidRPr="00D63150">
        <w:rPr>
          <w:b/>
          <w:bCs/>
        </w:rPr>
        <w:t>Magnitud del cambio:</w:t>
      </w:r>
      <w:r w:rsidRPr="00D63150">
        <w:t xml:space="preserve"> El incremento proyectado es similar al histórico, aunque el intervalo de confianza es más amplio que en ARIMA, lo que indica </w:t>
      </w:r>
      <w:r w:rsidRPr="00D63150">
        <w:rPr>
          <w:b/>
          <w:bCs/>
        </w:rPr>
        <w:t>mayor incertidumbre</w:t>
      </w:r>
      <w:r w:rsidRPr="00D63150">
        <w:t>.</w:t>
      </w:r>
    </w:p>
    <w:p w14:paraId="7D01BF37" w14:textId="77777777" w:rsidR="00D63150" w:rsidRPr="00D63150" w:rsidRDefault="00D63150" w:rsidP="00D63150">
      <w:pPr>
        <w:pStyle w:val="ListParagraph"/>
        <w:numPr>
          <w:ilvl w:val="0"/>
          <w:numId w:val="6"/>
        </w:numPr>
        <w:jc w:val="both"/>
      </w:pPr>
      <w:r w:rsidRPr="00D63150">
        <w:rPr>
          <w:b/>
          <w:bCs/>
        </w:rPr>
        <w:t>Implicación:</w:t>
      </w:r>
      <w:r w:rsidRPr="00D63150">
        <w:t xml:space="preserve"> El modelo ARMA captura parte de la dinámica, pero su desempeño es inferior al ARIMA, lo que se confirma por sus métricas (AIC y BIC más altos). Esto lo hace menos adecuado para pronósticos precisos en esta serie.</w:t>
      </w:r>
    </w:p>
    <w:p w14:paraId="381BAC0A" w14:textId="77777777" w:rsidR="00D63150" w:rsidRPr="00D63150" w:rsidRDefault="00D63150" w:rsidP="00D63150">
      <w:pPr>
        <w:jc w:val="center"/>
        <w:rPr>
          <w:b/>
          <w:bCs/>
          <w:color w:val="0F9ED5" w:themeColor="accent4"/>
        </w:rPr>
      </w:pPr>
    </w:p>
    <w:p w14:paraId="02D58980" w14:textId="531A6EDB" w:rsidR="00EE5FB8" w:rsidRPr="00EE5FB8" w:rsidRDefault="00EE5FB8" w:rsidP="00D63150">
      <w:pPr>
        <w:jc w:val="center"/>
        <w:rPr>
          <w:b/>
          <w:bCs/>
          <w:color w:val="0F9ED5" w:themeColor="accent4"/>
        </w:rPr>
      </w:pPr>
      <w:r w:rsidRPr="00EE5FB8">
        <w:rPr>
          <w:b/>
          <w:bCs/>
          <w:color w:val="0F9ED5" w:themeColor="accent4"/>
        </w:rPr>
        <w:t>Comparación ARIMA vs ARMA</w:t>
      </w:r>
    </w:p>
    <w:p w14:paraId="55089B70" w14:textId="77777777" w:rsidR="00EE5FB8" w:rsidRPr="00EE5FB8" w:rsidRDefault="00EE5FB8" w:rsidP="00EE5FB8">
      <w:pPr>
        <w:numPr>
          <w:ilvl w:val="0"/>
          <w:numId w:val="8"/>
        </w:numPr>
      </w:pPr>
      <w:r w:rsidRPr="00EE5FB8">
        <w:rPr>
          <w:b/>
          <w:bCs/>
        </w:rPr>
        <w:t>AIC/BIC:</w:t>
      </w:r>
      <w:r w:rsidRPr="00EE5FB8">
        <w:t xml:space="preserve"> </w:t>
      </w:r>
    </w:p>
    <w:p w14:paraId="463FEA69" w14:textId="77777777" w:rsidR="00EE5FB8" w:rsidRPr="00EE5FB8" w:rsidRDefault="00EE5FB8" w:rsidP="00EE5FB8">
      <w:pPr>
        <w:numPr>
          <w:ilvl w:val="1"/>
          <w:numId w:val="8"/>
        </w:numPr>
      </w:pPr>
      <w:r w:rsidRPr="00EE5FB8">
        <w:t>ARIMA: AIC = -680.33, BIC = -672.93</w:t>
      </w:r>
    </w:p>
    <w:p w14:paraId="1D109D02" w14:textId="77777777" w:rsidR="00EE5FB8" w:rsidRPr="00EE5FB8" w:rsidRDefault="00EE5FB8" w:rsidP="00EE5FB8">
      <w:pPr>
        <w:numPr>
          <w:ilvl w:val="1"/>
          <w:numId w:val="8"/>
        </w:numPr>
      </w:pPr>
      <w:r w:rsidRPr="00EE5FB8">
        <w:t>ARMA: AIC = -654.01, BIC = -644.10</w:t>
      </w:r>
    </w:p>
    <w:p w14:paraId="2164078E" w14:textId="2115F5D3" w:rsidR="00EE5FB8" w:rsidRDefault="00EE5FB8" w:rsidP="00F32A7C">
      <w:pPr>
        <w:jc w:val="both"/>
      </w:pPr>
      <w:r w:rsidRPr="00EE5FB8">
        <w:rPr>
          <w:b/>
          <w:bCs/>
        </w:rPr>
        <w:t>Interpretación:</w:t>
      </w:r>
      <w:r w:rsidRPr="00EE5FB8">
        <w:t xml:space="preserve"> </w:t>
      </w:r>
      <w:r w:rsidR="00F32A7C" w:rsidRPr="00F32A7C">
        <w:t xml:space="preserve">El modelo ARIMA presenta valores AIC y BIC </w:t>
      </w:r>
      <w:r w:rsidR="00F32A7C">
        <w:t>s</w:t>
      </w:r>
      <w:r w:rsidR="00F32A7C" w:rsidRPr="00F32A7C">
        <w:t>ignificativamente menores, lo que indica mejor ajuste y mayor parsimonia.</w:t>
      </w:r>
      <w:r w:rsidR="00F32A7C">
        <w:t xml:space="preserve"> </w:t>
      </w:r>
      <w:r w:rsidR="00F32A7C" w:rsidRPr="00EE5FB8">
        <w:t>ARIMA es claramente superior.</w:t>
      </w:r>
    </w:p>
    <w:p w14:paraId="7EA2EA5D" w14:textId="77777777" w:rsidR="00F32A7C" w:rsidRPr="00F32A7C" w:rsidRDefault="00F32A7C" w:rsidP="00F32A7C">
      <w:pPr>
        <w:jc w:val="both"/>
      </w:pPr>
      <w:r w:rsidRPr="00F32A7C">
        <w:rPr>
          <w:b/>
          <w:bCs/>
        </w:rPr>
        <w:t>Captura de la dinámica:</w:t>
      </w:r>
    </w:p>
    <w:p w14:paraId="4B05ED31" w14:textId="77777777" w:rsidR="00F32A7C" w:rsidRPr="00F32A7C" w:rsidRDefault="00F32A7C" w:rsidP="00F32A7C">
      <w:pPr>
        <w:pStyle w:val="ListParagraph"/>
        <w:numPr>
          <w:ilvl w:val="0"/>
          <w:numId w:val="18"/>
        </w:numPr>
        <w:jc w:val="both"/>
      </w:pPr>
      <w:r w:rsidRPr="00F32A7C">
        <w:t>ARIMA incorpora diferenciación (d=1), corrigiendo la no estacionariedad detectada en la serie.</w:t>
      </w:r>
    </w:p>
    <w:p w14:paraId="3D6950EF" w14:textId="77777777" w:rsidR="00F32A7C" w:rsidRPr="00F32A7C" w:rsidRDefault="00F32A7C" w:rsidP="00F32A7C">
      <w:pPr>
        <w:pStyle w:val="ListParagraph"/>
        <w:numPr>
          <w:ilvl w:val="0"/>
          <w:numId w:val="18"/>
        </w:numPr>
        <w:jc w:val="both"/>
      </w:pPr>
      <w:r w:rsidRPr="00F32A7C">
        <w:t>ARMA no aplica diferenciación, por lo que no corrige la tendencia, resultando en menor capacidad predictiva.</w:t>
      </w:r>
    </w:p>
    <w:p w14:paraId="7A14575F" w14:textId="77777777" w:rsidR="005D79B1" w:rsidRPr="005D79B1" w:rsidRDefault="005D79B1" w:rsidP="005D79B1">
      <w:pPr>
        <w:jc w:val="both"/>
      </w:pPr>
      <w:r w:rsidRPr="005D79B1">
        <w:rPr>
          <w:b/>
          <w:bCs/>
        </w:rPr>
        <w:t>Pronósticos:</w:t>
      </w:r>
    </w:p>
    <w:p w14:paraId="7968C67A" w14:textId="77777777" w:rsidR="005D79B1" w:rsidRPr="005D79B1" w:rsidRDefault="005D79B1" w:rsidP="005D79B1">
      <w:pPr>
        <w:pStyle w:val="ListParagraph"/>
        <w:numPr>
          <w:ilvl w:val="0"/>
          <w:numId w:val="20"/>
        </w:numPr>
        <w:jc w:val="both"/>
      </w:pPr>
      <w:r w:rsidRPr="005D79B1">
        <w:t>ARIMA genera intervalos de confianza más estrechos y proyecciones consistentes con la tendencia histórica.</w:t>
      </w:r>
    </w:p>
    <w:p w14:paraId="439336F9" w14:textId="77777777" w:rsidR="005D79B1" w:rsidRPr="005D79B1" w:rsidRDefault="005D79B1" w:rsidP="005D79B1">
      <w:pPr>
        <w:pStyle w:val="ListParagraph"/>
        <w:numPr>
          <w:ilvl w:val="0"/>
          <w:numId w:val="20"/>
        </w:numPr>
        <w:jc w:val="both"/>
      </w:pPr>
      <w:r w:rsidRPr="005D79B1">
        <w:t>ARMA muestra intervalos más amplios, reflejando mayor incertidumbre.</w:t>
      </w:r>
    </w:p>
    <w:p w14:paraId="7FC76D70" w14:textId="77777777" w:rsidR="005D79B1" w:rsidRPr="005D79B1" w:rsidRDefault="005D79B1" w:rsidP="005D79B1">
      <w:pPr>
        <w:jc w:val="both"/>
      </w:pPr>
      <w:r w:rsidRPr="005D79B1">
        <w:rPr>
          <w:b/>
          <w:bCs/>
        </w:rPr>
        <w:t>Residuales:</w:t>
      </w:r>
    </w:p>
    <w:p w14:paraId="20BE5AA0" w14:textId="77777777" w:rsidR="005D79B1" w:rsidRPr="005D79B1" w:rsidRDefault="005D79B1" w:rsidP="005D79B1">
      <w:pPr>
        <w:pStyle w:val="ListParagraph"/>
        <w:numPr>
          <w:ilvl w:val="0"/>
          <w:numId w:val="22"/>
        </w:numPr>
        <w:jc w:val="both"/>
      </w:pPr>
      <w:r w:rsidRPr="005D79B1">
        <w:t>ARIMA presenta residuales más pequeños y estables, lo que indica buen ajuste.</w:t>
      </w:r>
    </w:p>
    <w:p w14:paraId="41A76632" w14:textId="77777777" w:rsidR="005D79B1" w:rsidRPr="005D79B1" w:rsidRDefault="005D79B1" w:rsidP="005D79B1">
      <w:pPr>
        <w:pStyle w:val="ListParagraph"/>
        <w:numPr>
          <w:ilvl w:val="0"/>
          <w:numId w:val="22"/>
        </w:numPr>
        <w:jc w:val="both"/>
      </w:pPr>
      <w:r w:rsidRPr="005D79B1">
        <w:t>ARMA muestra mayor dispersión en los residuales, confirmando menor calidad del modelo.</w:t>
      </w:r>
    </w:p>
    <w:p w14:paraId="65A36FDC" w14:textId="77777777" w:rsidR="00F32A7C" w:rsidRPr="00EE5FB8" w:rsidRDefault="00F32A7C" w:rsidP="00F32A7C">
      <w:pPr>
        <w:jc w:val="both"/>
      </w:pPr>
    </w:p>
    <w:p w14:paraId="10D51435" w14:textId="77777777" w:rsidR="00EE5FB8" w:rsidRPr="00EE5FB8" w:rsidRDefault="00EE5FB8" w:rsidP="00EE5FB8">
      <w:pPr>
        <w:numPr>
          <w:ilvl w:val="0"/>
          <w:numId w:val="9"/>
        </w:numPr>
      </w:pPr>
      <w:r w:rsidRPr="00EE5FB8">
        <w:rPr>
          <w:b/>
          <w:bCs/>
        </w:rPr>
        <w:lastRenderedPageBreak/>
        <w:t>Normalidad (Anderson-Darling):</w:t>
      </w:r>
      <w:r w:rsidRPr="00EE5FB8">
        <w:t xml:space="preserve"> </w:t>
      </w:r>
    </w:p>
    <w:p w14:paraId="5974F17F" w14:textId="77777777" w:rsidR="00EE5FB8" w:rsidRPr="00EE5FB8" w:rsidRDefault="00EE5FB8" w:rsidP="00EE5FB8">
      <w:pPr>
        <w:numPr>
          <w:ilvl w:val="1"/>
          <w:numId w:val="9"/>
        </w:numPr>
      </w:pPr>
      <w:r w:rsidRPr="00EE5FB8">
        <w:t>Ambos modelos tienen p-valor ≈ 0 → residuales no son perfectamente normales, pero ARIMA es más estable.</w:t>
      </w:r>
    </w:p>
    <w:p w14:paraId="4AAFDFD1" w14:textId="77777777" w:rsidR="00EE5FB8" w:rsidRDefault="00EE5FB8" w:rsidP="00030CE1"/>
    <w:p w14:paraId="0E97FDF5" w14:textId="7B735A82" w:rsidR="00EE5FB8" w:rsidRPr="00D63150" w:rsidRDefault="00EE5FB8" w:rsidP="00D63150">
      <w:pPr>
        <w:jc w:val="center"/>
        <w:rPr>
          <w:b/>
          <w:bCs/>
          <w:color w:val="0F9ED5" w:themeColor="accent4"/>
        </w:rPr>
      </w:pPr>
      <w:r w:rsidRPr="00D63150">
        <w:rPr>
          <w:b/>
          <w:bCs/>
          <w:color w:val="0F9ED5" w:themeColor="accent4"/>
        </w:rPr>
        <w:t>Conclusión General</w:t>
      </w:r>
    </w:p>
    <w:p w14:paraId="6A07373C" w14:textId="77777777" w:rsidR="005D79B1" w:rsidRPr="005D79B1" w:rsidRDefault="005D79B1" w:rsidP="005D79B1">
      <w:r w:rsidRPr="005D79B1">
        <w:t xml:space="preserve">El modelo </w:t>
      </w:r>
      <w:proofErr w:type="gramStart"/>
      <w:r w:rsidRPr="005D79B1">
        <w:rPr>
          <w:b/>
          <w:bCs/>
        </w:rPr>
        <w:t>ARIMA(</w:t>
      </w:r>
      <w:proofErr w:type="gramEnd"/>
      <w:r w:rsidRPr="005D79B1">
        <w:rPr>
          <w:b/>
          <w:bCs/>
        </w:rPr>
        <w:t>1,1,1)</w:t>
      </w:r>
      <w:r w:rsidRPr="005D79B1">
        <w:t xml:space="preserve"> es superior al </w:t>
      </w:r>
      <w:proofErr w:type="gramStart"/>
      <w:r w:rsidRPr="005D79B1">
        <w:t>ARMA(</w:t>
      </w:r>
      <w:proofErr w:type="gramEnd"/>
      <w:r w:rsidRPr="005D79B1">
        <w:t>1,0,1) para esta serie, ya que:</w:t>
      </w:r>
    </w:p>
    <w:p w14:paraId="31DEF0C2" w14:textId="77777777" w:rsidR="005D79B1" w:rsidRPr="005D79B1" w:rsidRDefault="005D79B1" w:rsidP="005D79B1">
      <w:pPr>
        <w:pStyle w:val="ListParagraph"/>
        <w:numPr>
          <w:ilvl w:val="0"/>
          <w:numId w:val="24"/>
        </w:numPr>
      </w:pPr>
      <w:r w:rsidRPr="005D79B1">
        <w:t>Corrige la no estacionariedad.</w:t>
      </w:r>
    </w:p>
    <w:p w14:paraId="50C714E6" w14:textId="77777777" w:rsidR="005D79B1" w:rsidRPr="005D79B1" w:rsidRDefault="005D79B1" w:rsidP="005D79B1">
      <w:pPr>
        <w:pStyle w:val="ListParagraph"/>
        <w:numPr>
          <w:ilvl w:val="0"/>
          <w:numId w:val="24"/>
        </w:numPr>
      </w:pPr>
      <w:r w:rsidRPr="005D79B1">
        <w:t>Ofrece mejor ajuste según AIC/BIC.</w:t>
      </w:r>
    </w:p>
    <w:p w14:paraId="00798DE8" w14:textId="77777777" w:rsidR="005D79B1" w:rsidRPr="005D79B1" w:rsidRDefault="005D79B1" w:rsidP="005D79B1">
      <w:pPr>
        <w:pStyle w:val="ListParagraph"/>
        <w:numPr>
          <w:ilvl w:val="0"/>
          <w:numId w:val="24"/>
        </w:numPr>
      </w:pPr>
      <w:r w:rsidRPr="005D79B1">
        <w:t xml:space="preserve">Genera pronósticos más confiables y con menor incertidumbre. Por lo tanto, </w:t>
      </w:r>
      <w:r w:rsidRPr="005D79B1">
        <w:rPr>
          <w:b/>
          <w:bCs/>
        </w:rPr>
        <w:t>ARIMA es el modelo recomendado para proyecciones del log DPI</w:t>
      </w:r>
      <w:r w:rsidRPr="005D79B1">
        <w:t>.</w:t>
      </w:r>
    </w:p>
    <w:p w14:paraId="6730158A" w14:textId="77777777" w:rsidR="005D79B1" w:rsidRDefault="005D79B1" w:rsidP="005D79B1"/>
    <w:sectPr w:rsidR="005D79B1">
      <w:footerReference w:type="even" r:id="rId10"/>
      <w:footerReference w:type="defaul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4ECE9" w14:textId="77777777" w:rsidR="00A67A7D" w:rsidRDefault="00A67A7D" w:rsidP="00A67A7D">
      <w:pPr>
        <w:spacing w:after="0" w:line="240" w:lineRule="auto"/>
      </w:pPr>
      <w:r>
        <w:separator/>
      </w:r>
    </w:p>
  </w:endnote>
  <w:endnote w:type="continuationSeparator" w:id="0">
    <w:p w14:paraId="6D8B2383" w14:textId="77777777" w:rsidR="00A67A7D" w:rsidRDefault="00A67A7D" w:rsidP="00A67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948D4" w14:textId="4ADA5EC1" w:rsidR="00A67A7D" w:rsidRDefault="00A67A7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71DE2B" wp14:editId="7B54E6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2855" cy="370205"/>
              <wp:effectExtent l="0" t="0" r="4445" b="0"/>
              <wp:wrapNone/>
              <wp:docPr id="5855390" name="Text Box 2" descr="©Nemak |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28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FFD20E" w14:textId="7E2A5101" w:rsidR="00A67A7D" w:rsidRPr="00A67A7D" w:rsidRDefault="00A67A7D" w:rsidP="00A67A7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7A7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©Nemak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1DE2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©Nemak | Internal" style="position:absolute;margin-left:0;margin-top:0;width:98.6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1FFD20E" w14:textId="7E2A5101" w:rsidR="00A67A7D" w:rsidRPr="00A67A7D" w:rsidRDefault="00A67A7D" w:rsidP="00A67A7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7A7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©Nemak |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2A5FB" w14:textId="513E08E1" w:rsidR="00A67A7D" w:rsidRDefault="00A67A7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E77CA7" wp14:editId="0DBAC8AB">
              <wp:simplePos x="1079500" y="9423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2855" cy="370205"/>
              <wp:effectExtent l="0" t="0" r="4445" b="0"/>
              <wp:wrapNone/>
              <wp:docPr id="310836735" name="Text Box 3" descr="©Nemak |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28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541050" w14:textId="2302A8C7" w:rsidR="00A67A7D" w:rsidRPr="00A67A7D" w:rsidRDefault="00A67A7D" w:rsidP="00A67A7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7A7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©Nemak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77C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©Nemak | Internal" style="position:absolute;margin-left:0;margin-top:0;width:98.6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B541050" w14:textId="2302A8C7" w:rsidR="00A67A7D" w:rsidRPr="00A67A7D" w:rsidRDefault="00A67A7D" w:rsidP="00A67A7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7A7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©Nemak |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58019" w14:textId="32ACF5AB" w:rsidR="00A67A7D" w:rsidRDefault="00A67A7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597E8F" wp14:editId="21CE98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2855" cy="370205"/>
              <wp:effectExtent l="0" t="0" r="4445" b="0"/>
              <wp:wrapNone/>
              <wp:docPr id="931346450" name="Text Box 1" descr="©Nemak |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28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0DDC37" w14:textId="41C5ED1E" w:rsidR="00A67A7D" w:rsidRPr="00A67A7D" w:rsidRDefault="00A67A7D" w:rsidP="00A67A7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7A7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©Nemak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97E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©Nemak | Internal" style="position:absolute;margin-left:0;margin-top:0;width:98.6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F0DDC37" w14:textId="41C5ED1E" w:rsidR="00A67A7D" w:rsidRPr="00A67A7D" w:rsidRDefault="00A67A7D" w:rsidP="00A67A7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7A7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©Nemak |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A2D3A" w14:textId="77777777" w:rsidR="00A67A7D" w:rsidRDefault="00A67A7D" w:rsidP="00A67A7D">
      <w:pPr>
        <w:spacing w:after="0" w:line="240" w:lineRule="auto"/>
      </w:pPr>
      <w:r>
        <w:separator/>
      </w:r>
    </w:p>
  </w:footnote>
  <w:footnote w:type="continuationSeparator" w:id="0">
    <w:p w14:paraId="693B4BB8" w14:textId="77777777" w:rsidR="00A67A7D" w:rsidRDefault="00A67A7D" w:rsidP="00A67A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DC7"/>
    <w:multiLevelType w:val="multilevel"/>
    <w:tmpl w:val="5800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601B9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04512"/>
    <w:multiLevelType w:val="hybridMultilevel"/>
    <w:tmpl w:val="FC68C5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01A02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368B7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64539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27F33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C2ED1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34363"/>
    <w:multiLevelType w:val="hybridMultilevel"/>
    <w:tmpl w:val="DA7676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5777A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73419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24C92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65F5D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A45D5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57E83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30C98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45E3D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A0970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35236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968C9"/>
    <w:multiLevelType w:val="multilevel"/>
    <w:tmpl w:val="78D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C095D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43F14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B5C9D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02BA5"/>
    <w:multiLevelType w:val="multilevel"/>
    <w:tmpl w:val="BA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931952">
    <w:abstractNumId w:val="2"/>
  </w:num>
  <w:num w:numId="2" w16cid:durableId="943995164">
    <w:abstractNumId w:val="8"/>
  </w:num>
  <w:num w:numId="3" w16cid:durableId="116993777">
    <w:abstractNumId w:val="19"/>
  </w:num>
  <w:num w:numId="4" w16cid:durableId="1402556912">
    <w:abstractNumId w:val="0"/>
  </w:num>
  <w:num w:numId="5" w16cid:durableId="2100102251">
    <w:abstractNumId w:val="20"/>
  </w:num>
  <w:num w:numId="6" w16cid:durableId="845751983">
    <w:abstractNumId w:val="13"/>
  </w:num>
  <w:num w:numId="7" w16cid:durableId="1752585070">
    <w:abstractNumId w:val="23"/>
  </w:num>
  <w:num w:numId="8" w16cid:durableId="1580477993">
    <w:abstractNumId w:val="10"/>
  </w:num>
  <w:num w:numId="9" w16cid:durableId="1212958105">
    <w:abstractNumId w:val="15"/>
  </w:num>
  <w:num w:numId="10" w16cid:durableId="1504706754">
    <w:abstractNumId w:val="11"/>
  </w:num>
  <w:num w:numId="11" w16cid:durableId="1028217436">
    <w:abstractNumId w:val="17"/>
  </w:num>
  <w:num w:numId="12" w16cid:durableId="1509908868">
    <w:abstractNumId w:val="14"/>
  </w:num>
  <w:num w:numId="13" w16cid:durableId="2021928729">
    <w:abstractNumId w:val="7"/>
  </w:num>
  <w:num w:numId="14" w16cid:durableId="1207526917">
    <w:abstractNumId w:val="1"/>
  </w:num>
  <w:num w:numId="15" w16cid:durableId="681080460">
    <w:abstractNumId w:val="5"/>
  </w:num>
  <w:num w:numId="16" w16cid:durableId="981740772">
    <w:abstractNumId w:val="18"/>
  </w:num>
  <w:num w:numId="17" w16cid:durableId="1579558396">
    <w:abstractNumId w:val="9"/>
  </w:num>
  <w:num w:numId="18" w16cid:durableId="952252979">
    <w:abstractNumId w:val="21"/>
  </w:num>
  <w:num w:numId="19" w16cid:durableId="2036416549">
    <w:abstractNumId w:val="3"/>
  </w:num>
  <w:num w:numId="20" w16cid:durableId="1929773838">
    <w:abstractNumId w:val="22"/>
  </w:num>
  <w:num w:numId="21" w16cid:durableId="669524798">
    <w:abstractNumId w:val="6"/>
  </w:num>
  <w:num w:numId="22" w16cid:durableId="554123138">
    <w:abstractNumId w:val="4"/>
  </w:num>
  <w:num w:numId="23" w16cid:durableId="39474078">
    <w:abstractNumId w:val="16"/>
  </w:num>
  <w:num w:numId="24" w16cid:durableId="8145705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E1"/>
    <w:rsid w:val="00030CE1"/>
    <w:rsid w:val="00383179"/>
    <w:rsid w:val="005C1309"/>
    <w:rsid w:val="005D79B1"/>
    <w:rsid w:val="00697C59"/>
    <w:rsid w:val="00774EFE"/>
    <w:rsid w:val="008E4695"/>
    <w:rsid w:val="00910B92"/>
    <w:rsid w:val="00957AB8"/>
    <w:rsid w:val="00A67A7D"/>
    <w:rsid w:val="00B947AC"/>
    <w:rsid w:val="00D63150"/>
    <w:rsid w:val="00EE5FB8"/>
    <w:rsid w:val="00F3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888DA"/>
  <w15:chartTrackingRefBased/>
  <w15:docId w15:val="{13BF1EBF-2F0F-45F9-9693-76834180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E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67A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716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Nemak Monterrey</Company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Aguilera, Valeria</dc:creator>
  <cp:keywords/>
  <dc:description/>
  <cp:lastModifiedBy>Aguilera, Valeria</cp:lastModifiedBy>
  <cp:revision>1</cp:revision>
  <dcterms:created xsi:type="dcterms:W3CDTF">2025-11-03T01:56:00Z</dcterms:created>
  <dcterms:modified xsi:type="dcterms:W3CDTF">2025-11-03T02:18:00Z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37833812,59589e,1286fdff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©Nemak | Internal</vt:lpwstr>
  </property>
  <property fmtid="{D5CDD505-2E9C-101B-9397-08002B2CF9AE}" pid="5" name="MSIP_Label_ff68b83a-7ad3-4abb-876e-65953668f201_Enabled">
    <vt:lpwstr>true</vt:lpwstr>
  </property>
  <property fmtid="{D5CDD505-2E9C-101B-9397-08002B2CF9AE}" pid="6" name="MSIP_Label_ff68b83a-7ad3-4abb-876e-65953668f201_SetDate">
    <vt:lpwstr>2025-11-03T02:17:36Z</vt:lpwstr>
  </property>
  <property fmtid="{D5CDD505-2E9C-101B-9397-08002B2CF9AE}" pid="7" name="MSIP_Label_ff68b83a-7ad3-4abb-876e-65953668f201_Method">
    <vt:lpwstr>Standard</vt:lpwstr>
  </property>
  <property fmtid="{D5CDD505-2E9C-101B-9397-08002B2CF9AE}" pid="8" name="MSIP_Label_ff68b83a-7ad3-4abb-876e-65953668f201_Name">
    <vt:lpwstr>ff68b83a-7ad3-4abb-876e-65953668f201</vt:lpwstr>
  </property>
  <property fmtid="{D5CDD505-2E9C-101B-9397-08002B2CF9AE}" pid="9" name="MSIP_Label_ff68b83a-7ad3-4abb-876e-65953668f201_SiteId">
    <vt:lpwstr>bdef9893-87ef-40e4-97a4-c7d985698696</vt:lpwstr>
  </property>
  <property fmtid="{D5CDD505-2E9C-101B-9397-08002B2CF9AE}" pid="10" name="MSIP_Label_ff68b83a-7ad3-4abb-876e-65953668f201_ActionId">
    <vt:lpwstr>e8b435de-2172-43f1-a660-0b4fe71b500a</vt:lpwstr>
  </property>
  <property fmtid="{D5CDD505-2E9C-101B-9397-08002B2CF9AE}" pid="11" name="MSIP_Label_ff68b83a-7ad3-4abb-876e-65953668f201_ContentBits">
    <vt:lpwstr>2</vt:lpwstr>
  </property>
  <property fmtid="{D5CDD505-2E9C-101B-9397-08002B2CF9AE}" pid="12" name="MSIP_Label_ff68b83a-7ad3-4abb-876e-65953668f201_Tag">
    <vt:lpwstr>10, 3, 0, 1</vt:lpwstr>
  </property>
</Properties>
</file>