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t xml:space="preserve"/>
      </w:r>
    </w:p>
    <w:p>
      <w:pPr>
        <w:spacing w:after="0" w:before="0"/>
      </w:pPr>
      <w:r>
        <w:t xml:space="preserve"/>
      </w:r>
    </w:p>
    <w:p>
      <w:pPr>
        <w:spacing w:after="0" w:before="0"/>
      </w:pPr>
      <w:r>
        <w:t xml:space="preserve"/>
      </w:r>
    </w:p>
    <w:p>
      <w:pPr>
        <w:spacing w:after="60" w:before="0"/>
        <w:jc w:val="center"/>
      </w:pPr>
      <w:r>
        <w:rPr>
          <w:rFonts w:ascii="Arial" w:cs="Arial" w:eastAsia="Arial" w:hAnsi="Arial"/>
          <w:b/>
          <w:bCs/>
          <w:color w:val="1F4E79"/>
          <w:sz w:val="64"/>
          <w:szCs w:val="64"/>
        </w:rPr>
        <w:t xml:space="preserve">BIOAGE PROJECT</w:t>
      </w:r>
    </w:p>
    <w:p>
      <w:pPr>
        <w:spacing w:after="240" w:before="0"/>
        <w:jc w:val="center"/>
      </w:pPr>
      <w:r>
        <w:rPr>
          <w:rFonts w:ascii="Arial" w:cs="Arial" w:eastAsia="Arial" w:hAnsi="Arial"/>
          <w:b/>
          <w:bCs/>
          <w:color w:val="2E75B6"/>
          <w:sz w:val="36"/>
          <w:szCs w:val="36"/>
        </w:rPr>
        <w:t xml:space="preserve">Report di Analisi Esplorativa del Dataset</w:t>
      </w:r>
    </w:p>
    <w:p>
      <w:pPr>
        <w:pBdr>
          <w:bottom w:val="single" w:color="2E75B6" w:sz="6" w:space="1"/>
        </w:pBdr>
        <w:spacing w:after="120" w:before="120"/>
      </w:pPr>
      <w:r>
        <w:t xml:space="preserve"/>
      </w:r>
    </w:p>
    <w:p>
      <w:pPr>
        <w:spacing w:after="60" w:before="180"/>
        <w:jc w:val="center"/>
      </w:pPr>
      <w:r>
        <w:rPr>
          <w:rFonts w:ascii="Arial" w:cs="Arial" w:eastAsia="Arial" w:hAnsi="Arial"/>
          <w:color w:val="444444"/>
          <w:sz w:val="26"/>
          <w:szCs w:val="26"/>
        </w:rPr>
        <w:t xml:space="preserve">Preparazione Dati per Modello ML — Calcolo Età Biologica</w:t>
      </w:r>
    </w:p>
    <w:p>
      <w:pPr>
        <w:spacing w:after="0" w:before="0"/>
        <w:jc w:val="center"/>
      </w:pPr>
      <w:r>
        <w:rPr>
          <w:rFonts w:ascii="Arial" w:cs="Arial" w:eastAsia="Arial" w:hAnsi="Arial"/>
          <w:color w:val="888888"/>
          <w:sz w:val="22"/>
          <w:szCs w:val="22"/>
        </w:rPr>
        <w:t xml:space="preserve">Inflammaging · Score Clinici · Longevità · Deep Learning</w:t>
      </w:r>
    </w:p>
    <w:p>
      <w:pPr>
        <w:spacing w:after="0" w:before="0"/>
      </w:pPr>
      <w:r>
        <w:t xml:space="preserve"/>
      </w:r>
    </w:p>
    <w:p>
      <w:pPr>
        <w:spacing w:after="0" w:before="0"/>
      </w:pPr>
      <w:r>
        <w:t xml:space="preserve"/>
      </w:r>
    </w:p>
    <w:p>
      <w:pPr>
        <w:spacing w:after="0" w:before="0"/>
      </w:pPr>
      <w:r>
        <w:t xml:space="preserve"/>
      </w:r>
    </w:p>
    <w:p>
      <w:pPr>
        <w:spacing w:after="0" w:before="0"/>
      </w:pPr>
      <w:r>
        <w:t xml:space="preserve"/>
      </w:r>
    </w:p>
    <w:p>
      <w:r>
        <w:br w:type="page"/>
      </w:r>
    </w:p>
    <w:sdt>
      <w:sdtPr>
        <w:alias w:val="Indice"/>
      </w:sdtPr>
      <w:sdtContent>
        <w:p>
          <w:r>
            <w:fldChar w:fldCharType="begin" w:dirty="true"/>
            <w:instrText xml:space="preserve">TOC \h \o "1-3"</w:instrText>
            <w:fldChar w:fldCharType="separate"/>
          </w:r>
        </w:p>
        <w:p>
          <w:r>
            <w:fldChar w:fldCharType="end"/>
          </w:r>
        </w:p>
      </w:sdtContent>
    </w:sdt>
    <w:p>
      <w:r>
        <w:br w:type="page"/>
      </w:r>
    </w:p>
    <w:p>
      <w:pPr>
        <w:pStyle w:val="Heading1"/>
        <w:spacing w:after="180" w:before="360"/>
      </w:pPr>
      <w:r>
        <w:rPr>
          <w:rFonts w:ascii="Arial" w:cs="Arial" w:eastAsia="Arial" w:hAnsi="Arial"/>
          <w:b/>
          <w:bCs/>
          <w:color w:val="1F4E79"/>
          <w:sz w:val="32"/>
          <w:szCs w:val="32"/>
        </w:rPr>
        <w:t xml:space="preserve">1. Introduzione e Contesto</w:t>
      </w:r>
    </w:p>
    <w:p>
      <w:pPr>
        <w:spacing w:after="120" w:before="0"/>
        <w:jc w:val="left"/>
      </w:pPr>
      <w:r>
        <w:rPr>
          <w:rFonts w:ascii="Arial" w:cs="Arial" w:eastAsia="Arial" w:hAnsi="Arial"/>
          <w:b w:val="false"/>
          <w:bCs w:val="false"/>
          <w:color w:val="000000"/>
          <w:sz w:val="24"/>
          <w:szCs w:val="24"/>
        </w:rPr>
        <w:t xml:space="preserve">Il presente report descrive l'analisi esplorativa condotta sul dataset di parametri biochimici anonimizzati (df_markers_bioage__anon.xlsx), con l'obiettivo di preparare i dati per l'addestramento di un modello di Machine Learning / Deep Learning per il calcolo dell'età biologica.</w:t>
      </w:r>
    </w:p>
    <w:p>
      <w:pPr>
        <w:spacing w:after="0" w:before="0"/>
      </w:pPr>
      <w:r>
        <w:t xml:space="preserve"/>
      </w:r>
    </w:p>
    <w:p>
      <w:pPr>
        <w:spacing w:after="60" w:before="60"/>
        <w:jc w:val="left"/>
      </w:pPr>
      <w:r>
        <w:rPr>
          <w:rFonts w:ascii="Arial" w:cs="Arial" w:eastAsia="Arial" w:hAnsi="Arial"/>
          <w:b w:val="false"/>
          <w:bCs w:val="false"/>
          <w:color w:val="000000"/>
          <w:sz w:val="24"/>
          <w:szCs w:val="24"/>
        </w:rPr>
        <w:t xml:space="preserve">Il framework teorico si articola in cinque domini fisiologici:</w:t>
      </w:r>
    </w:p>
    <w:p>
      <w:pPr>
        <w:pStyle w:val="ListParagraph"/>
        <w:numPr>
          <w:ilvl w:val="0"/>
          <w:numId w:val="2"/>
        </w:numPr>
        <w:spacing w:after="60" w:before="0"/>
      </w:pPr>
      <w:r>
        <w:rPr>
          <w:rFonts w:ascii="Arial" w:cs="Arial" w:eastAsia="Arial" w:hAnsi="Arial"/>
          <w:sz w:val="22"/>
          <w:szCs w:val="22"/>
        </w:rPr>
        <w:t xml:space="preserve">Insulino-Resistenza — TyG Index, TG/HDL Ratio</w:t>
      </w:r>
    </w:p>
    <w:p>
      <w:pPr>
        <w:pStyle w:val="ListParagraph"/>
        <w:numPr>
          <w:ilvl w:val="0"/>
          <w:numId w:val="2"/>
        </w:numPr>
        <w:spacing w:after="60" w:before="0"/>
      </w:pPr>
      <w:r>
        <w:rPr>
          <w:rFonts w:ascii="Arial" w:cs="Arial" w:eastAsia="Arial" w:hAnsi="Arial"/>
          <w:sz w:val="22"/>
          <w:szCs w:val="22"/>
        </w:rPr>
        <w:t xml:space="preserve">Rischio Cardiovascolare Lipidico — Castelli I &amp; II, Non-HDL Colesterolo</w:t>
      </w:r>
    </w:p>
    <w:p>
      <w:pPr>
        <w:pStyle w:val="ListParagraph"/>
        <w:numPr>
          <w:ilvl w:val="0"/>
          <w:numId w:val="2"/>
        </w:numPr>
        <w:spacing w:after="60" w:before="0"/>
      </w:pPr>
      <w:r>
        <w:rPr>
          <w:rFonts w:ascii="Arial" w:cs="Arial" w:eastAsia="Arial" w:hAnsi="Arial"/>
          <w:sz w:val="22"/>
          <w:szCs w:val="22"/>
        </w:rPr>
        <w:t xml:space="preserve">Profilo Epatico — FIB-4, De Ritis (AST/ALT)</w:t>
      </w:r>
    </w:p>
    <w:p>
      <w:pPr>
        <w:pStyle w:val="ListParagraph"/>
        <w:numPr>
          <w:ilvl w:val="0"/>
          <w:numId w:val="2"/>
        </w:numPr>
        <w:spacing w:after="60" w:before="0"/>
      </w:pPr>
      <w:r>
        <w:rPr>
          <w:rFonts w:ascii="Arial" w:cs="Arial" w:eastAsia="Arial" w:hAnsi="Arial"/>
          <w:sz w:val="22"/>
          <w:szCs w:val="22"/>
        </w:rPr>
        <w:t xml:space="preserve">Indici Infiammatori / Inflammaging — NLR, PLR, SII</w:t>
      </w:r>
    </w:p>
    <w:p>
      <w:pPr>
        <w:pStyle w:val="ListParagraph"/>
        <w:numPr>
          <w:ilvl w:val="0"/>
          <w:numId w:val="2"/>
        </w:numPr>
        <w:spacing w:after="60" w:before="0"/>
      </w:pPr>
      <w:r>
        <w:rPr>
          <w:rFonts w:ascii="Arial" w:cs="Arial" w:eastAsia="Arial" w:hAnsi="Arial"/>
          <w:sz w:val="22"/>
          <w:szCs w:val="22"/>
        </w:rPr>
        <w:t xml:space="preserve">Funzionalità Metabolica e Renale — Urea/Creatinina</w:t>
      </w:r>
    </w:p>
    <w:p>
      <w:pPr>
        <w:spacing w:after="0" w:before="0"/>
      </w:pPr>
      <w:r>
        <w:t xml:space="preserve"/>
      </w:r>
    </w:p>
    <w:p>
      <w:pPr>
        <w:spacing w:after="120" w:before="0"/>
        <w:jc w:val="left"/>
      </w:pPr>
      <w:r>
        <w:rPr>
          <w:rFonts w:ascii="Arial" w:cs="Arial" w:eastAsia="Arial" w:hAnsi="Arial"/>
          <w:b w:val="false"/>
          <w:bCs w:val="false"/>
          <w:color w:val="000000"/>
          <w:sz w:val="24"/>
          <w:szCs w:val="24"/>
        </w:rPr>
        <w:t xml:space="preserve">Tutti gli 11 score clinici sono derivati da 13 esami biochimici di routine, senza ricorrere a marcatori aggiuntivi. Questa scelta rende il modello applicabile su larga scala con costi minimi.</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2E75B6" w:sz="1"/>
              <w:left w:val="single" w:color="2E75B6" w:sz="1"/>
              <w:bottom w:val="single" w:color="2E75B6" w:sz="1"/>
              <w:right w:val="single" w:color="2E75B6" w:sz="1"/>
            </w:tcBorders>
            <w:shd w:fill="BDD7EE" w:val="clear"/>
            <w:tcMar>
              <w:top w:type="dxa" w:w="80"/>
              <w:left w:type="dxa" w:w="100"/>
              <w:bottom w:type="dxa" w:w="80"/>
              <w:right w:type="dxa" w:w="100"/>
            </w:tcMar>
            <w:vAlign w:val="center"/>
          </w:tcPr>
          <w:p>
            <w:r>
              <w:rPr>
                <w:rFonts w:ascii="Arial" w:cs="Arial" w:eastAsia="Arial" w:hAnsi="Arial"/>
                <w:b/>
                <w:bCs/>
                <w:color w:val="1F4E79"/>
                <w:sz w:val="20"/>
                <w:szCs w:val="20"/>
              </w:rPr>
              <w:t xml:space="preserve">Obiettivo</w:t>
            </w:r>
          </w:p>
        </w:tc>
        <w:tc>
          <w:tcPr>
            <w:tcW w:type="dxa" w:w="7160"/>
            <w:tcBorders>
              <w:top w:val="single" w:color="2E75B6" w:sz="1"/>
              <w:left w:val="single" w:color="2E75B6" w:sz="1"/>
              <w:bottom w:val="single" w:color="2E75B6" w:sz="1"/>
              <w:right w:val="single" w:color="2E75B6" w:sz="1"/>
            </w:tcBorders>
            <w:shd w:fill="BDD7EE" w:val="clear"/>
            <w:tcMar>
              <w:top w:type="dxa" w:w="80"/>
              <w:left w:type="dxa" w:w="100"/>
              <w:bottom w:type="dxa" w:w="80"/>
              <w:right w:type="dxa" w:w="100"/>
            </w:tcMar>
            <w:vAlign w:val="center"/>
          </w:tcPr>
          <w:p>
            <w:r>
              <w:rPr>
                <w:rFonts w:ascii="Arial" w:cs="Arial" w:eastAsia="Arial" w:hAnsi="Arial"/>
                <w:b/>
                <w:bCs/>
                <w:color w:val="1F4E79"/>
                <w:sz w:val="20"/>
                <w:szCs w:val="20"/>
              </w:rPr>
              <w:t xml:space="preserve">Descrizione</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Target 1 — Età biologica</w:t>
            </w:r>
          </w:p>
        </w:tc>
        <w:tc>
          <w:tcPr>
            <w:tcW w:type="dxa" w:w="7160"/>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Il modello apprende i pattern biochimici associati a ogni fascia d'età. Lo scarto tra età predetta ed età reale diventa un indicatore di accelerazione o decelerazione biologica.</w:t>
            </w:r>
          </w:p>
        </w:tc>
      </w:tr>
      <w:tr>
        <w:tc>
          <w:tcPr>
            <w:tcW w:type="dxa" w:w="2200"/>
            <w:gridSpan w:val="1"/>
            <w:tcBorders>
              <w:top w:val="single" w:color="CCCCCC" w:sz="1"/>
              <w:left w:val="single" w:color="CCCCCC" w:sz="1"/>
              <w:bottom w:val="single" w:color="CCCCCC" w:sz="1"/>
              <w:right w:val="single" w:color="CCCCCC" w:sz="1"/>
            </w:tcBorders>
            <w:shd w:fill="F5F9FC"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Target 2 — Score Inflammaging</w:t>
            </w:r>
          </w:p>
        </w:tc>
        <w:tc>
          <w:tcPr>
            <w:tcW w:type="dxa" w:w="7160"/>
            <w:gridSpan w:val="1"/>
            <w:tcBorders>
              <w:top w:val="single" w:color="CCCCCC" w:sz="1"/>
              <w:left w:val="single" w:color="CCCCCC" w:sz="1"/>
              <w:bottom w:val="single" w:color="CCCCCC" w:sz="1"/>
              <w:right w:val="single" w:color="CCCCCC" w:sz="1"/>
            </w:tcBorders>
            <w:shd w:fill="F5F9FC"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Indice composito sui cinque domini che tenga conto dell'intero profilo fisiologico del paziente.</w:t>
            </w:r>
          </w:p>
        </w:tc>
      </w:tr>
    </w:tbl>
    <w:p>
      <w:pPr>
        <w:spacing w:after="0" w:before="0"/>
      </w:pPr>
      <w:r>
        <w:t xml:space="preserve"/>
      </w:r>
    </w:p>
    <w:p>
      <w:pPr>
        <w:pStyle w:val="Heading1"/>
        <w:spacing w:after="180" w:before="360"/>
      </w:pPr>
      <w:r>
        <w:rPr>
          <w:rFonts w:ascii="Arial" w:cs="Arial" w:eastAsia="Arial" w:hAnsi="Arial"/>
          <w:b/>
          <w:bCs/>
          <w:color w:val="1F4E79"/>
          <w:sz w:val="32"/>
          <w:szCs w:val="32"/>
        </w:rPr>
        <w:t xml:space="preserve">2. Struttura del Dataset</w:t>
      </w:r>
    </w:p>
    <w:p>
      <w:pPr>
        <w:pStyle w:val="Heading2"/>
        <w:spacing w:after="120" w:before="240"/>
      </w:pPr>
      <w:r>
        <w:rPr>
          <w:rFonts w:ascii="Arial" w:cs="Arial" w:eastAsia="Arial" w:hAnsi="Arial"/>
          <w:b/>
          <w:bCs/>
          <w:color w:val="2E75B6"/>
          <w:sz w:val="26"/>
          <w:szCs w:val="26"/>
        </w:rPr>
        <w:t xml:space="preserve">2.1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2E75B6" w:sz="1"/>
              <w:left w:val="single" w:color="2E75B6" w:sz="1"/>
              <w:bottom w:val="single" w:color="2E75B6" w:sz="1"/>
              <w:right w:val="single" w:color="2E75B6" w:sz="1"/>
            </w:tcBorders>
            <w:shd w:fill="BDD7EE" w:val="clear"/>
            <w:tcMar>
              <w:top w:type="dxa" w:w="80"/>
              <w:left w:type="dxa" w:w="100"/>
              <w:bottom w:type="dxa" w:w="80"/>
              <w:right w:type="dxa" w:w="100"/>
            </w:tcMar>
            <w:vAlign w:val="center"/>
          </w:tcPr>
          <w:p>
            <w:r>
              <w:rPr>
                <w:rFonts w:ascii="Arial" w:cs="Arial" w:eastAsia="Arial" w:hAnsi="Arial"/>
                <w:b/>
                <w:bCs/>
                <w:color w:val="1F4E79"/>
                <w:sz w:val="20"/>
                <w:szCs w:val="20"/>
              </w:rPr>
              <w:t xml:space="preserve">Proprietà</w:t>
            </w:r>
          </w:p>
        </w:tc>
        <w:tc>
          <w:tcPr>
            <w:tcW w:type="dxa" w:w="6160"/>
            <w:tcBorders>
              <w:top w:val="single" w:color="2E75B6" w:sz="1"/>
              <w:left w:val="single" w:color="2E75B6" w:sz="1"/>
              <w:bottom w:val="single" w:color="2E75B6" w:sz="1"/>
              <w:right w:val="single" w:color="2E75B6" w:sz="1"/>
            </w:tcBorders>
            <w:shd w:fill="BDD7EE" w:val="clear"/>
            <w:tcMar>
              <w:top w:type="dxa" w:w="80"/>
              <w:left w:type="dxa" w:w="100"/>
              <w:bottom w:type="dxa" w:w="80"/>
              <w:right w:type="dxa" w:w="100"/>
            </w:tcMar>
            <w:vAlign w:val="center"/>
          </w:tcPr>
          <w:p>
            <w:r>
              <w:rPr>
                <w:rFonts w:ascii="Arial" w:cs="Arial" w:eastAsia="Arial" w:hAnsi="Arial"/>
                <w:b/>
                <w:bCs/>
                <w:color w:val="1F4E79"/>
                <w:sz w:val="20"/>
                <w:szCs w:val="20"/>
              </w:rPr>
              <w:t xml:space="preserve">Dettaglio</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Fonte dati</w:t>
            </w:r>
          </w:p>
        </w:tc>
        <w:tc>
          <w:tcPr>
            <w:tcW w:type="dxa" w:w="6160"/>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Laboratorio clinico (dataset anonimizzato)</w:t>
            </w:r>
          </w:p>
        </w:tc>
      </w:tr>
      <w:tr>
        <w:tc>
          <w:tcPr>
            <w:tcW w:type="dxa" w:w="3200"/>
            <w:gridSpan w:val="1"/>
            <w:tcBorders>
              <w:top w:val="single" w:color="CCCCCC" w:sz="1"/>
              <w:left w:val="single" w:color="CCCCCC" w:sz="1"/>
              <w:bottom w:val="single" w:color="CCCCCC" w:sz="1"/>
              <w:right w:val="single" w:color="CCCCCC" w:sz="1"/>
            </w:tcBorders>
            <w:shd w:fill="F5F9FC"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Arco temporale</w:t>
            </w:r>
          </w:p>
        </w:tc>
        <w:tc>
          <w:tcPr>
            <w:tcW w:type="dxa" w:w="6160"/>
            <w:gridSpan w:val="1"/>
            <w:tcBorders>
              <w:top w:val="single" w:color="CCCCCC" w:sz="1"/>
              <w:left w:val="single" w:color="CCCCCC" w:sz="1"/>
              <w:bottom w:val="single" w:color="CCCCCC" w:sz="1"/>
              <w:right w:val="single" w:color="CCCCCC" w:sz="1"/>
            </w:tcBorders>
            <w:shd w:fill="F5F9FC"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4 gennaio 2021 — 16 maggio 2026 (∼5 anni)</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Righe totali (raw)</w:t>
            </w:r>
          </w:p>
        </w:tc>
        <w:tc>
          <w:tcPr>
            <w:tcW w:type="dxa" w:w="6160"/>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16.262 episodi</w:t>
            </w:r>
          </w:p>
        </w:tc>
      </w:tr>
      <w:tr>
        <w:tc>
          <w:tcPr>
            <w:tcW w:type="dxa" w:w="3200"/>
            <w:gridSpan w:val="1"/>
            <w:tcBorders>
              <w:top w:val="single" w:color="CCCCCC" w:sz="1"/>
              <w:left w:val="single" w:color="CCCCCC" w:sz="1"/>
              <w:bottom w:val="single" w:color="CCCCCC" w:sz="1"/>
              <w:right w:val="single" w:color="CCCCCC" w:sz="1"/>
            </w:tcBorders>
            <w:shd w:fill="F5F9FC"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Pazienti unici</w:t>
            </w:r>
          </w:p>
        </w:tc>
        <w:tc>
          <w:tcPr>
            <w:tcW w:type="dxa" w:w="6160"/>
            <w:gridSpan w:val="1"/>
            <w:tcBorders>
              <w:top w:val="single" w:color="CCCCCC" w:sz="1"/>
              <w:left w:val="single" w:color="CCCCCC" w:sz="1"/>
              <w:bottom w:val="single" w:color="CCCCCC" w:sz="1"/>
              <w:right w:val="single" w:color="CCCCCC" w:sz="1"/>
            </w:tcBorders>
            <w:shd w:fill="F5F9FC"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12.500</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Biomarcatori (feature)</w:t>
            </w:r>
          </w:p>
        </w:tc>
        <w:tc>
          <w:tcPr>
            <w:tcW w:type="dxa" w:w="6160"/>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13 parametri biochimici di routine</w:t>
            </w:r>
          </w:p>
        </w:tc>
      </w:tr>
      <w:tr>
        <w:tc>
          <w:tcPr>
            <w:tcW w:type="dxa" w:w="3200"/>
            <w:gridSpan w:val="1"/>
            <w:tcBorders>
              <w:top w:val="single" w:color="CCCCCC" w:sz="1"/>
              <w:left w:val="single" w:color="CCCCCC" w:sz="1"/>
              <w:bottom w:val="single" w:color="CCCCCC" w:sz="1"/>
              <w:right w:val="single" w:color="CCCCCC" w:sz="1"/>
            </w:tcBorders>
            <w:shd w:fill="F5F9FC"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Score clinici calcolati</w:t>
            </w:r>
          </w:p>
        </w:tc>
        <w:tc>
          <w:tcPr>
            <w:tcW w:type="dxa" w:w="6160"/>
            <w:gridSpan w:val="1"/>
            <w:tcBorders>
              <w:top w:val="single" w:color="CCCCCC" w:sz="1"/>
              <w:left w:val="single" w:color="CCCCCC" w:sz="1"/>
              <w:bottom w:val="single" w:color="CCCCCC" w:sz="1"/>
              <w:right w:val="single" w:color="CCCCCC" w:sz="1"/>
            </w:tcBorders>
            <w:shd w:fill="F5F9FC"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11 indici in 5 domini fisiologici</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Variabile target principale</w:t>
            </w:r>
          </w:p>
        </w:tc>
        <w:tc>
          <w:tcPr>
            <w:tcW w:type="dxa" w:w="6160"/>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Età anagrafica del paziente</w:t>
            </w:r>
          </w:p>
        </w:tc>
      </w:tr>
      <w:tr>
        <w:tc>
          <w:tcPr>
            <w:tcW w:type="dxa" w:w="3200"/>
            <w:gridSpan w:val="1"/>
            <w:tcBorders>
              <w:top w:val="single" w:color="CCCCCC" w:sz="1"/>
              <w:left w:val="single" w:color="CCCCCC" w:sz="1"/>
              <w:bottom w:val="single" w:color="CCCCCC" w:sz="1"/>
              <w:right w:val="single" w:color="CCCCCC" w:sz="1"/>
            </w:tcBorders>
            <w:shd w:fill="F5F9FC"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Tipo di dato</w:t>
            </w:r>
          </w:p>
        </w:tc>
        <w:tc>
          <w:tcPr>
            <w:tcW w:type="dxa" w:w="6160"/>
            <w:gridSpan w:val="1"/>
            <w:tcBorders>
              <w:top w:val="single" w:color="CCCCCC" w:sz="1"/>
              <w:left w:val="single" w:color="CCCCCC" w:sz="1"/>
              <w:bottom w:val="single" w:color="CCCCCC" w:sz="1"/>
              <w:right w:val="single" w:color="CCCCCC" w:sz="1"/>
            </w:tcBorders>
            <w:shd w:fill="F5F9FC"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Longitudinale: più esami per paziente in anni diversi</w:t>
            </w:r>
          </w:p>
        </w:tc>
      </w:tr>
    </w:tbl>
    <w:p>
      <w:pPr>
        <w:spacing w:after="0" w:before="0"/>
      </w:pPr>
      <w:r>
        <w:t xml:space="preserve"/>
      </w:r>
    </w:p>
    <w:p>
      <w:pPr>
        <w:pStyle w:val="Heading2"/>
        <w:spacing w:after="120" w:before="240"/>
      </w:pPr>
      <w:r>
        <w:rPr>
          <w:rFonts w:ascii="Arial" w:cs="Arial" w:eastAsia="Arial" w:hAnsi="Arial"/>
          <w:b/>
          <w:bCs/>
          <w:color w:val="2E75B6"/>
          <w:sz w:val="26"/>
          <w:szCs w:val="26"/>
        </w:rPr>
        <w:t xml:space="preserve">2.2 Distribuzione per Genere</w:t>
      </w:r>
    </w:p>
    <w:p>
      <w:pPr>
        <w:spacing w:after="120" w:before="0"/>
        <w:jc w:val="left"/>
      </w:pPr>
      <w:r>
        <w:rPr>
          <w:rFonts w:ascii="Arial" w:cs="Arial" w:eastAsia="Arial" w:hAnsi="Arial"/>
          <w:b w:val="false"/>
          <w:bCs w:val="false"/>
          <w:color w:val="000000"/>
          <w:sz w:val="24"/>
          <w:szCs w:val="24"/>
        </w:rPr>
        <w:t xml:space="preserve">Il campione mostra una distribuzione per genere sostanzialmente bilanciata, con una lieve prevalenza femminile. La tabella riporta i conteggi nei tre dataset progressivi (completo, de-duplicato, filtrato 18–90 anni).</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60"/>
        <w:gridCol w:w="1800"/>
        <w:gridCol w:w="1800"/>
        <w:gridCol w:w="2200"/>
      </w:tblGrid>
      <w:tr>
        <w:tc>
          <w:tcPr>
            <w:tcW w:type="dxa" w:w="3560"/>
            <w:tcBorders>
              <w:top w:val="single" w:color="2E75B6" w:sz="1"/>
              <w:left w:val="single" w:color="2E75B6" w:sz="1"/>
              <w:bottom w:val="single" w:color="2E75B6" w:sz="1"/>
              <w:right w:val="single" w:color="2E75B6" w:sz="1"/>
            </w:tcBorders>
            <w:shd w:fill="BDD7EE" w:val="clear"/>
            <w:tcMar>
              <w:top w:type="dxa" w:w="80"/>
              <w:left w:type="dxa" w:w="100"/>
              <w:bottom w:type="dxa" w:w="80"/>
              <w:right w:type="dxa" w:w="100"/>
            </w:tcMar>
            <w:vAlign w:val="center"/>
          </w:tcPr>
          <w:p>
            <w:r>
              <w:rPr>
                <w:rFonts w:ascii="Arial" w:cs="Arial" w:eastAsia="Arial" w:hAnsi="Arial"/>
                <w:b/>
                <w:bCs/>
                <w:color w:val="1F4E79"/>
                <w:sz w:val="20"/>
                <w:szCs w:val="20"/>
              </w:rPr>
              <w:t xml:space="preserve">Dataset</w:t>
            </w:r>
          </w:p>
        </w:tc>
        <w:tc>
          <w:tcPr>
            <w:tcW w:type="dxa" w:w="1800"/>
            <w:tcBorders>
              <w:top w:val="single" w:color="2E75B6" w:sz="1"/>
              <w:left w:val="single" w:color="2E75B6" w:sz="1"/>
              <w:bottom w:val="single" w:color="2E75B6" w:sz="1"/>
              <w:right w:val="single" w:color="2E75B6" w:sz="1"/>
            </w:tcBorders>
            <w:shd w:fill="BDD7EE" w:val="clear"/>
            <w:tcMar>
              <w:top w:type="dxa" w:w="80"/>
              <w:left w:type="dxa" w:w="100"/>
              <w:bottom w:type="dxa" w:w="80"/>
              <w:right w:type="dxa" w:w="100"/>
            </w:tcMar>
            <w:vAlign w:val="center"/>
          </w:tcPr>
          <w:p>
            <w:r>
              <w:rPr>
                <w:rFonts w:ascii="Arial" w:cs="Arial" w:eastAsia="Arial" w:hAnsi="Arial"/>
                <w:b/>
                <w:bCs/>
                <w:color w:val="1F4E79"/>
                <w:sz w:val="20"/>
                <w:szCs w:val="20"/>
              </w:rPr>
              <w:t xml:space="preserve">Femmine (F)</w:t>
            </w:r>
          </w:p>
        </w:tc>
        <w:tc>
          <w:tcPr>
            <w:tcW w:type="dxa" w:w="1800"/>
            <w:tcBorders>
              <w:top w:val="single" w:color="2E75B6" w:sz="1"/>
              <w:left w:val="single" w:color="2E75B6" w:sz="1"/>
              <w:bottom w:val="single" w:color="2E75B6" w:sz="1"/>
              <w:right w:val="single" w:color="2E75B6" w:sz="1"/>
            </w:tcBorders>
            <w:shd w:fill="BDD7EE" w:val="clear"/>
            <w:tcMar>
              <w:top w:type="dxa" w:w="80"/>
              <w:left w:type="dxa" w:w="100"/>
              <w:bottom w:type="dxa" w:w="80"/>
              <w:right w:type="dxa" w:w="100"/>
            </w:tcMar>
            <w:vAlign w:val="center"/>
          </w:tcPr>
          <w:p>
            <w:r>
              <w:rPr>
                <w:rFonts w:ascii="Arial" w:cs="Arial" w:eastAsia="Arial" w:hAnsi="Arial"/>
                <w:b/>
                <w:bCs/>
                <w:color w:val="1F4E79"/>
                <w:sz w:val="20"/>
                <w:szCs w:val="20"/>
              </w:rPr>
              <w:t xml:space="preserve">Maschi (M)</w:t>
            </w:r>
          </w:p>
        </w:tc>
        <w:tc>
          <w:tcPr>
            <w:tcW w:type="dxa" w:w="2200"/>
            <w:tcBorders>
              <w:top w:val="single" w:color="2E75B6" w:sz="1"/>
              <w:left w:val="single" w:color="2E75B6" w:sz="1"/>
              <w:bottom w:val="single" w:color="2E75B6" w:sz="1"/>
              <w:right w:val="single" w:color="2E75B6" w:sz="1"/>
            </w:tcBorders>
            <w:shd w:fill="BDD7EE" w:val="clear"/>
            <w:tcMar>
              <w:top w:type="dxa" w:w="80"/>
              <w:left w:type="dxa" w:w="100"/>
              <w:bottom w:type="dxa" w:w="80"/>
              <w:right w:type="dxa" w:w="100"/>
            </w:tcMar>
            <w:vAlign w:val="center"/>
          </w:tcPr>
          <w:p>
            <w:r>
              <w:rPr>
                <w:rFonts w:ascii="Arial" w:cs="Arial" w:eastAsia="Arial" w:hAnsi="Arial"/>
                <w:b/>
                <w:bCs/>
                <w:color w:val="1F4E79"/>
                <w:sz w:val="20"/>
                <w:szCs w:val="20"/>
              </w:rPr>
              <w:t xml:space="preserve">Totale</w:t>
            </w:r>
          </w:p>
        </w:tc>
      </w:tr>
      <w:tr>
        <w:tc>
          <w:tcPr>
            <w:tcW w:type="dxa" w:w="3560"/>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df completo (con duplicati)</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8.793</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7.469</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16.262</w:t>
            </w:r>
          </w:p>
        </w:tc>
      </w:tr>
      <w:tr>
        <w:tc>
          <w:tcPr>
            <w:tcW w:type="dxa" w:w="3560"/>
            <w:gridSpan w:val="1"/>
            <w:tcBorders>
              <w:top w:val="single" w:color="CCCCCC" w:sz="1"/>
              <w:left w:val="single" w:color="CCCCCC" w:sz="1"/>
              <w:bottom w:val="single" w:color="CCCCCC" w:sz="1"/>
              <w:right w:val="single" w:color="CCCCCC" w:sz="1"/>
            </w:tcBorders>
            <w:shd w:fill="F5F9FC"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df_non_duplicate (ultimo episodio/ID)</w:t>
            </w:r>
          </w:p>
        </w:tc>
        <w:tc>
          <w:tcPr>
            <w:tcW w:type="dxa" w:w="1800"/>
            <w:gridSpan w:val="1"/>
            <w:tcBorders>
              <w:top w:val="single" w:color="CCCCCC" w:sz="1"/>
              <w:left w:val="single" w:color="CCCCCC" w:sz="1"/>
              <w:bottom w:val="single" w:color="CCCCCC" w:sz="1"/>
              <w:right w:val="single" w:color="CCCCCC" w:sz="1"/>
            </w:tcBorders>
            <w:shd w:fill="F5F9FC"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6.700</w:t>
            </w:r>
          </w:p>
        </w:tc>
        <w:tc>
          <w:tcPr>
            <w:tcW w:type="dxa" w:w="1800"/>
            <w:gridSpan w:val="1"/>
            <w:tcBorders>
              <w:top w:val="single" w:color="CCCCCC" w:sz="1"/>
              <w:left w:val="single" w:color="CCCCCC" w:sz="1"/>
              <w:bottom w:val="single" w:color="CCCCCC" w:sz="1"/>
              <w:right w:val="single" w:color="CCCCCC" w:sz="1"/>
            </w:tcBorders>
            <w:shd w:fill="F5F9FC"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5.800</w:t>
            </w:r>
          </w:p>
        </w:tc>
        <w:tc>
          <w:tcPr>
            <w:tcW w:type="dxa" w:w="2200"/>
            <w:gridSpan w:val="1"/>
            <w:tcBorders>
              <w:top w:val="single" w:color="CCCCCC" w:sz="1"/>
              <w:left w:val="single" w:color="CCCCCC" w:sz="1"/>
              <w:bottom w:val="single" w:color="CCCCCC" w:sz="1"/>
              <w:right w:val="single" w:color="CCCCCC" w:sz="1"/>
            </w:tcBorders>
            <w:shd w:fill="F5F9FC"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12.500</w:t>
            </w:r>
          </w:p>
        </w:tc>
      </w:tr>
      <w:tr>
        <w:tc>
          <w:tcPr>
            <w:tcW w:type="dxa" w:w="3560"/>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df_drop_eta (filtro 18–90 aa + outlier)</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6.356</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5.548</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11.904</w:t>
            </w:r>
          </w:p>
        </w:tc>
      </w:tr>
    </w:tbl>
    <w:p>
      <w:pPr>
        <w:spacing w:after="0" w:before="0"/>
      </w:pPr>
      <w:r>
        <w:t xml:space="preserve"/>
      </w:r>
    </w:p>
    <w:p>
      <w:pPr>
        <w:spacing w:after="120" w:before="0"/>
        <w:jc w:val="left"/>
      </w:pPr>
      <w:r>
        <w:rPr>
          <w:rFonts w:ascii="Arial" w:cs="Arial" w:eastAsia="Arial" w:hAnsi="Arial"/>
          <w:b w:val="false"/>
          <w:bCs w:val="false"/>
          <w:color w:val="555555"/>
          <w:sz w:val="24"/>
          <w:szCs w:val="24"/>
        </w:rPr>
        <w:t xml:space="preserve">Nota: il dataset df_non_duplicate mantiene l'ultimo episodio disponibile per ciascun id_num, garantendo che l'età utilizzata per il filtraggio sia la più recente e attendibile.</w:t>
      </w:r>
    </w:p>
    <w:p>
      <w:pPr>
        <w:spacing w:after="0" w:before="0"/>
      </w:pPr>
      <w:r>
        <w:t xml:space="preserve"/>
      </w:r>
    </w:p>
    <w:p>
      <w:pPr>
        <w:pStyle w:val="Heading2"/>
        <w:spacing w:after="120" w:before="240"/>
      </w:pPr>
      <w:r>
        <w:rPr>
          <w:rFonts w:ascii="Arial" w:cs="Arial" w:eastAsia="Arial" w:hAnsi="Arial"/>
          <w:b/>
          <w:bCs/>
          <w:color w:val="2E75B6"/>
          <w:sz w:val="26"/>
          <w:szCs w:val="26"/>
        </w:rPr>
        <w:t xml:space="preserve">2.3 Biomarcatori e Categorie Cliniche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3200"/>
        <w:gridCol w:w="3560"/>
      </w:tblGrid>
      <w:tr>
        <w:tc>
          <w:tcPr>
            <w:tcW w:type="dxa" w:w="400"/>
            <w:tcBorders>
              <w:top w:val="single" w:color="2E75B6" w:sz="1"/>
              <w:left w:val="single" w:color="2E75B6" w:sz="1"/>
              <w:bottom w:val="single" w:color="2E75B6" w:sz="1"/>
              <w:right w:val="single" w:color="2E75B6" w:sz="1"/>
            </w:tcBorders>
            <w:shd w:fill="BDD7EE" w:val="clear"/>
            <w:tcMar>
              <w:top w:type="dxa" w:w="80"/>
              <w:left w:type="dxa" w:w="100"/>
              <w:bottom w:type="dxa" w:w="80"/>
              <w:right w:type="dxa" w:w="100"/>
            </w:tcMar>
            <w:vAlign w:val="center"/>
          </w:tcPr>
          <w:p>
            <w:r>
              <w:rPr>
                <w:rFonts w:ascii="Arial" w:cs="Arial" w:eastAsia="Arial" w:hAnsi="Arial"/>
                <w:b/>
                <w:bCs/>
                <w:color w:val="1F4E79"/>
                <w:sz w:val="20"/>
                <w:szCs w:val="20"/>
              </w:rPr>
              <w:t xml:space="preserve">#</w:t>
            </w:r>
          </w:p>
        </w:tc>
        <w:tc>
          <w:tcPr>
            <w:tcW w:type="dxa" w:w="2200"/>
            <w:tcBorders>
              <w:top w:val="single" w:color="2E75B6" w:sz="1"/>
              <w:left w:val="single" w:color="2E75B6" w:sz="1"/>
              <w:bottom w:val="single" w:color="2E75B6" w:sz="1"/>
              <w:right w:val="single" w:color="2E75B6" w:sz="1"/>
            </w:tcBorders>
            <w:shd w:fill="BDD7EE" w:val="clear"/>
            <w:tcMar>
              <w:top w:type="dxa" w:w="80"/>
              <w:left w:type="dxa" w:w="100"/>
              <w:bottom w:type="dxa" w:w="80"/>
              <w:right w:type="dxa" w:w="100"/>
            </w:tcMar>
            <w:vAlign w:val="center"/>
          </w:tcPr>
          <w:p>
            <w:r>
              <w:rPr>
                <w:rFonts w:ascii="Arial" w:cs="Arial" w:eastAsia="Arial" w:hAnsi="Arial"/>
                <w:b/>
                <w:bCs/>
                <w:color w:val="1F4E79"/>
                <w:sz w:val="20"/>
                <w:szCs w:val="20"/>
              </w:rPr>
              <w:t xml:space="preserve">Categoria</w:t>
            </w:r>
          </w:p>
        </w:tc>
        <w:tc>
          <w:tcPr>
            <w:tcW w:type="dxa" w:w="3200"/>
            <w:tcBorders>
              <w:top w:val="single" w:color="2E75B6" w:sz="1"/>
              <w:left w:val="single" w:color="2E75B6" w:sz="1"/>
              <w:bottom w:val="single" w:color="2E75B6" w:sz="1"/>
              <w:right w:val="single" w:color="2E75B6" w:sz="1"/>
            </w:tcBorders>
            <w:shd w:fill="BDD7EE" w:val="clear"/>
            <w:tcMar>
              <w:top w:type="dxa" w:w="80"/>
              <w:left w:type="dxa" w:w="100"/>
              <w:bottom w:type="dxa" w:w="80"/>
              <w:right w:type="dxa" w:w="100"/>
            </w:tcMar>
            <w:vAlign w:val="center"/>
          </w:tcPr>
          <w:p>
            <w:r>
              <w:rPr>
                <w:rFonts w:ascii="Arial" w:cs="Arial" w:eastAsia="Arial" w:hAnsi="Arial"/>
                <w:b/>
                <w:bCs/>
                <w:color w:val="1F4E79"/>
                <w:sz w:val="20"/>
                <w:szCs w:val="20"/>
              </w:rPr>
              <w:t xml:space="preserve">Biomarcatori</w:t>
            </w:r>
          </w:p>
        </w:tc>
        <w:tc>
          <w:tcPr>
            <w:tcW w:type="dxa" w:w="3560"/>
            <w:tcBorders>
              <w:top w:val="single" w:color="2E75B6" w:sz="1"/>
              <w:left w:val="single" w:color="2E75B6" w:sz="1"/>
              <w:bottom w:val="single" w:color="2E75B6" w:sz="1"/>
              <w:right w:val="single" w:color="2E75B6" w:sz="1"/>
            </w:tcBorders>
            <w:shd w:fill="BDD7EE" w:val="clear"/>
            <w:tcMar>
              <w:top w:type="dxa" w:w="80"/>
              <w:left w:type="dxa" w:w="100"/>
              <w:bottom w:type="dxa" w:w="80"/>
              <w:right w:type="dxa" w:w="100"/>
            </w:tcMar>
            <w:vAlign w:val="center"/>
          </w:tcPr>
          <w:p>
            <w:r>
              <w:rPr>
                <w:rFonts w:ascii="Arial" w:cs="Arial" w:eastAsia="Arial" w:hAnsi="Arial"/>
                <w:b/>
                <w:bCs/>
                <w:color w:val="1F4E79"/>
                <w:sz w:val="20"/>
                <w:szCs w:val="20"/>
              </w:rPr>
              <w:t xml:space="preserve">Range di riferimento</w:t>
            </w:r>
          </w:p>
        </w:tc>
      </w:tr>
      <w:tr>
        <w:tc>
          <w:tcPr>
            <w:tcW w:type="dxa" w:w="400"/>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1</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Parametri Glicemici</w:t>
            </w:r>
          </w:p>
        </w:tc>
        <w:tc>
          <w:tcPr>
            <w:tcW w:type="dxa" w:w="3200"/>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Glucosio a digiuno</w:t>
            </w:r>
          </w:p>
        </w:tc>
        <w:tc>
          <w:tcPr>
            <w:tcW w:type="dxa" w:w="3560"/>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70–99 mg/dL</w:t>
            </w:r>
          </w:p>
        </w:tc>
      </w:tr>
      <w:tr>
        <w:tc>
          <w:tcPr>
            <w:tcW w:type="dxa" w:w="400"/>
            <w:gridSpan w:val="1"/>
            <w:tcBorders>
              <w:top w:val="single" w:color="CCCCCC" w:sz="1"/>
              <w:left w:val="single" w:color="CCCCCC" w:sz="1"/>
              <w:bottom w:val="single" w:color="CCCCCC" w:sz="1"/>
              <w:right w:val="single" w:color="CCCCCC" w:sz="1"/>
            </w:tcBorders>
            <w:shd w:fill="F5F9FC"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2</w:t>
            </w:r>
          </w:p>
        </w:tc>
        <w:tc>
          <w:tcPr>
            <w:tcW w:type="dxa" w:w="2200"/>
            <w:gridSpan w:val="1"/>
            <w:tcBorders>
              <w:top w:val="single" w:color="CCCCCC" w:sz="1"/>
              <w:left w:val="single" w:color="CCCCCC" w:sz="1"/>
              <w:bottom w:val="single" w:color="CCCCCC" w:sz="1"/>
              <w:right w:val="single" w:color="CCCCCC" w:sz="1"/>
            </w:tcBorders>
            <w:shd w:fill="F5F9FC"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Parametri Lipidici</w:t>
            </w:r>
          </w:p>
        </w:tc>
        <w:tc>
          <w:tcPr>
            <w:tcW w:type="dxa" w:w="3200"/>
            <w:gridSpan w:val="1"/>
            <w:tcBorders>
              <w:top w:val="single" w:color="CCCCCC" w:sz="1"/>
              <w:left w:val="single" w:color="CCCCCC" w:sz="1"/>
              <w:bottom w:val="single" w:color="CCCCCC" w:sz="1"/>
              <w:right w:val="single" w:color="CCCCCC" w:sz="1"/>
            </w:tcBorders>
            <w:shd w:fill="F5F9FC"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Trigliceridi, HDL, LDL, Colesterolo totale</w:t>
            </w:r>
          </w:p>
        </w:tc>
        <w:tc>
          <w:tcPr>
            <w:tcW w:type="dxa" w:w="3560"/>
            <w:gridSpan w:val="1"/>
            <w:tcBorders>
              <w:top w:val="single" w:color="CCCCCC" w:sz="1"/>
              <w:left w:val="single" w:color="CCCCCC" w:sz="1"/>
              <w:bottom w:val="single" w:color="CCCCCC" w:sz="1"/>
              <w:right w:val="single" w:color="CCCCCC" w:sz="1"/>
            </w:tcBorders>
            <w:shd w:fill="F5F9FC"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Variabile per marker</w:t>
            </w:r>
          </w:p>
        </w:tc>
      </w:tr>
      <w:tr>
        <w:tc>
          <w:tcPr>
            <w:tcW w:type="dxa" w:w="400"/>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3</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Parametri Epatici</w:t>
            </w:r>
          </w:p>
        </w:tc>
        <w:tc>
          <w:tcPr>
            <w:tcW w:type="dxa" w:w="3200"/>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AST (GOT), ALT (GPT)</w:t>
            </w:r>
          </w:p>
        </w:tc>
        <w:tc>
          <w:tcPr>
            <w:tcW w:type="dxa" w:w="3560"/>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AST &lt;34 U/L; ALT &lt;41 F / &lt;59 M</w:t>
            </w:r>
          </w:p>
        </w:tc>
      </w:tr>
      <w:tr>
        <w:tc>
          <w:tcPr>
            <w:tcW w:type="dxa" w:w="400"/>
            <w:gridSpan w:val="1"/>
            <w:tcBorders>
              <w:top w:val="single" w:color="CCCCCC" w:sz="1"/>
              <w:left w:val="single" w:color="CCCCCC" w:sz="1"/>
              <w:bottom w:val="single" w:color="CCCCCC" w:sz="1"/>
              <w:right w:val="single" w:color="CCCCCC" w:sz="1"/>
            </w:tcBorders>
            <w:shd w:fill="F5F9FC"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4</w:t>
            </w:r>
          </w:p>
        </w:tc>
        <w:tc>
          <w:tcPr>
            <w:tcW w:type="dxa" w:w="2200"/>
            <w:gridSpan w:val="1"/>
            <w:tcBorders>
              <w:top w:val="single" w:color="CCCCCC" w:sz="1"/>
              <w:left w:val="single" w:color="CCCCCC" w:sz="1"/>
              <w:bottom w:val="single" w:color="CCCCCC" w:sz="1"/>
              <w:right w:val="single" w:color="CCCCCC" w:sz="1"/>
            </w:tcBorders>
            <w:shd w:fill="F5F9FC"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Emocromo (CBC)</w:t>
            </w:r>
          </w:p>
        </w:tc>
        <w:tc>
          <w:tcPr>
            <w:tcW w:type="dxa" w:w="3200"/>
            <w:gridSpan w:val="1"/>
            <w:tcBorders>
              <w:top w:val="single" w:color="CCCCCC" w:sz="1"/>
              <w:left w:val="single" w:color="CCCCCC" w:sz="1"/>
              <w:bottom w:val="single" w:color="CCCCCC" w:sz="1"/>
              <w:right w:val="single" w:color="CCCCCC" w:sz="1"/>
            </w:tcBorders>
            <w:shd w:fill="F5F9FC"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Neutrofili, Linfociti, Piastrine, RDW-CV</w:t>
            </w:r>
          </w:p>
        </w:tc>
        <w:tc>
          <w:tcPr>
            <w:tcW w:type="dxa" w:w="3560"/>
            <w:gridSpan w:val="1"/>
            <w:tcBorders>
              <w:top w:val="single" w:color="CCCCCC" w:sz="1"/>
              <w:left w:val="single" w:color="CCCCCC" w:sz="1"/>
              <w:bottom w:val="single" w:color="CCCCCC" w:sz="1"/>
              <w:right w:val="single" w:color="CCCCCC" w:sz="1"/>
            </w:tcBorders>
            <w:shd w:fill="F5F9FC"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Age-/sex-specific</w:t>
            </w:r>
          </w:p>
        </w:tc>
      </w:tr>
      <w:tr>
        <w:tc>
          <w:tcPr>
            <w:tcW w:type="dxa" w:w="400"/>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5</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Marcatori Metabolici e Renali</w:t>
            </w:r>
          </w:p>
        </w:tc>
        <w:tc>
          <w:tcPr>
            <w:tcW w:type="dxa" w:w="3200"/>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Creatinina sierica, Urea (BUN)</w:t>
            </w:r>
          </w:p>
        </w:tc>
        <w:tc>
          <w:tcPr>
            <w:tcW w:type="dxa" w:w="3560"/>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Sex-specific / 20–50 mg/dL</w:t>
            </w:r>
          </w:p>
        </w:tc>
      </w:tr>
    </w:tbl>
    <w:p>
      <w:pPr>
        <w:spacing w:after="0" w:before="0"/>
      </w:pPr>
      <w:r>
        <w:t xml:space="preserve"/>
      </w:r>
    </w:p>
    <w:p>
      <w:pPr>
        <w:pStyle w:val="Heading1"/>
        <w:spacing w:after="180" w:before="360"/>
      </w:pPr>
      <w:r>
        <w:rPr>
          <w:rFonts w:ascii="Arial" w:cs="Arial" w:eastAsia="Arial" w:hAnsi="Arial"/>
          <w:b/>
          <w:bCs/>
          <w:color w:val="1F4E79"/>
          <w:sz w:val="32"/>
          <w:szCs w:val="32"/>
        </w:rPr>
        <w:t xml:space="preserve">3. Pipeline di Pulizia e Filtro Anagrafico</w:t>
      </w:r>
    </w:p>
    <w:p>
      <w:pPr>
        <w:pStyle w:val="Heading2"/>
        <w:spacing w:after="120" w:before="240"/>
      </w:pPr>
      <w:r>
        <w:rPr>
          <w:rFonts w:ascii="Arial" w:cs="Arial" w:eastAsia="Arial" w:hAnsi="Arial"/>
          <w:b/>
          <w:bCs/>
          <w:color w:val="2E75B6"/>
          <w:sz w:val="26"/>
          <w:szCs w:val="26"/>
        </w:rPr>
        <w:t xml:space="preserve">3.1 Filtro Età: 18–90 Anni</w:t>
      </w:r>
    </w:p>
    <w:p>
      <w:pPr>
        <w:spacing w:after="120" w:before="0"/>
        <w:jc w:val="left"/>
      </w:pPr>
      <w:r>
        <w:rPr>
          <w:rFonts w:ascii="Arial" w:cs="Arial" w:eastAsia="Arial" w:hAnsi="Arial"/>
          <w:b w:val="false"/>
          <w:bCs w:val="false"/>
          <w:color w:val="000000"/>
          <w:sz w:val="24"/>
          <w:szCs w:val="24"/>
        </w:rPr>
        <w:t xml:space="preserve">L'analisi è condotta su tre dataframe progressivi: (1) df completo con tutti gli episodi; (2) df_non_duplicate con un record per ID (ultimo disponibile); (3) df_drop_eta con filtro anagrafico e rimozione outlier.</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100"/>
        <w:gridCol w:w="1600"/>
        <w:gridCol w:w="1800"/>
        <w:gridCol w:w="1660"/>
      </w:tblGrid>
      <w:tr>
        <w:tc>
          <w:tcPr>
            <w:tcW w:type="dxa" w:w="1200"/>
            <w:tcBorders>
              <w:top w:val="single" w:color="2E75B6" w:sz="1"/>
              <w:left w:val="single" w:color="2E75B6" w:sz="1"/>
              <w:bottom w:val="single" w:color="2E75B6" w:sz="1"/>
              <w:right w:val="single" w:color="2E75B6" w:sz="1"/>
            </w:tcBorders>
            <w:shd w:fill="BDD7EE" w:val="clear"/>
            <w:tcMar>
              <w:top w:type="dxa" w:w="80"/>
              <w:left w:type="dxa" w:w="100"/>
              <w:bottom w:type="dxa" w:w="80"/>
              <w:right w:type="dxa" w:w="100"/>
            </w:tcMar>
            <w:vAlign w:val="center"/>
          </w:tcPr>
          <w:p>
            <w:r>
              <w:rPr>
                <w:rFonts w:ascii="Arial" w:cs="Arial" w:eastAsia="Arial" w:hAnsi="Arial"/>
                <w:b/>
                <w:bCs/>
                <w:color w:val="1F4E79"/>
                <w:sz w:val="20"/>
                <w:szCs w:val="20"/>
              </w:rPr>
              <w:t xml:space="preserve">Step</w:t>
            </w:r>
          </w:p>
        </w:tc>
        <w:tc>
          <w:tcPr>
            <w:tcW w:type="dxa" w:w="3100"/>
            <w:tcBorders>
              <w:top w:val="single" w:color="2E75B6" w:sz="1"/>
              <w:left w:val="single" w:color="2E75B6" w:sz="1"/>
              <w:bottom w:val="single" w:color="2E75B6" w:sz="1"/>
              <w:right w:val="single" w:color="2E75B6" w:sz="1"/>
            </w:tcBorders>
            <w:shd w:fill="BDD7EE" w:val="clear"/>
            <w:tcMar>
              <w:top w:type="dxa" w:w="80"/>
              <w:left w:type="dxa" w:w="100"/>
              <w:bottom w:type="dxa" w:w="80"/>
              <w:right w:type="dxa" w:w="100"/>
            </w:tcMar>
            <w:vAlign w:val="center"/>
          </w:tcPr>
          <w:p>
            <w:r>
              <w:rPr>
                <w:rFonts w:ascii="Arial" w:cs="Arial" w:eastAsia="Arial" w:hAnsi="Arial"/>
                <w:b/>
                <w:bCs/>
                <w:color w:val="1F4E79"/>
                <w:sz w:val="20"/>
                <w:szCs w:val="20"/>
              </w:rPr>
              <w:t xml:space="preserve">Dataset</w:t>
            </w:r>
          </w:p>
        </w:tc>
        <w:tc>
          <w:tcPr>
            <w:tcW w:type="dxa" w:w="1600"/>
            <w:tcBorders>
              <w:top w:val="single" w:color="2E75B6" w:sz="1"/>
              <w:left w:val="single" w:color="2E75B6" w:sz="1"/>
              <w:bottom w:val="single" w:color="2E75B6" w:sz="1"/>
              <w:right w:val="single" w:color="2E75B6" w:sz="1"/>
            </w:tcBorders>
            <w:shd w:fill="BDD7EE" w:val="clear"/>
            <w:tcMar>
              <w:top w:type="dxa" w:w="80"/>
              <w:left w:type="dxa" w:w="100"/>
              <w:bottom w:type="dxa" w:w="80"/>
              <w:right w:type="dxa" w:w="100"/>
            </w:tcMar>
            <w:vAlign w:val="center"/>
          </w:tcPr>
          <w:p>
            <w:r>
              <w:rPr>
                <w:rFonts w:ascii="Arial" w:cs="Arial" w:eastAsia="Arial" w:hAnsi="Arial"/>
                <w:b/>
                <w:bCs/>
                <w:color w:val="1F4E79"/>
                <w:sz w:val="20"/>
                <w:szCs w:val="20"/>
              </w:rPr>
              <w:t xml:space="preserve">N record</w:t>
            </w:r>
          </w:p>
        </w:tc>
        <w:tc>
          <w:tcPr>
            <w:tcW w:type="dxa" w:w="1800"/>
            <w:tcBorders>
              <w:top w:val="single" w:color="2E75B6" w:sz="1"/>
              <w:left w:val="single" w:color="2E75B6" w:sz="1"/>
              <w:bottom w:val="single" w:color="2E75B6" w:sz="1"/>
              <w:right w:val="single" w:color="2E75B6" w:sz="1"/>
            </w:tcBorders>
            <w:shd w:fill="BDD7EE" w:val="clear"/>
            <w:tcMar>
              <w:top w:type="dxa" w:w="80"/>
              <w:left w:type="dxa" w:w="100"/>
              <w:bottom w:type="dxa" w:w="80"/>
              <w:right w:type="dxa" w:w="100"/>
            </w:tcMar>
            <w:vAlign w:val="center"/>
          </w:tcPr>
          <w:p>
            <w:r>
              <w:rPr>
                <w:rFonts w:ascii="Arial" w:cs="Arial" w:eastAsia="Arial" w:hAnsi="Arial"/>
                <w:b/>
                <w:bCs/>
                <w:color w:val="1F4E79"/>
                <w:sz w:val="20"/>
                <w:szCs w:val="20"/>
              </w:rPr>
              <w:t xml:space="preserve">Mediana età</w:t>
            </w:r>
          </w:p>
        </w:tc>
        <w:tc>
          <w:tcPr>
            <w:tcW w:type="dxa" w:w="1660"/>
            <w:tcBorders>
              <w:top w:val="single" w:color="2E75B6" w:sz="1"/>
              <w:left w:val="single" w:color="2E75B6" w:sz="1"/>
              <w:bottom w:val="single" w:color="2E75B6" w:sz="1"/>
              <w:right w:val="single" w:color="2E75B6" w:sz="1"/>
            </w:tcBorders>
            <w:shd w:fill="BDD7EE" w:val="clear"/>
            <w:tcMar>
              <w:top w:type="dxa" w:w="80"/>
              <w:left w:type="dxa" w:w="100"/>
              <w:bottom w:type="dxa" w:w="80"/>
              <w:right w:type="dxa" w:w="100"/>
            </w:tcMar>
            <w:vAlign w:val="center"/>
          </w:tcPr>
          <w:p>
            <w:r>
              <w:rPr>
                <w:rFonts w:ascii="Arial" w:cs="Arial" w:eastAsia="Arial" w:hAnsi="Arial"/>
                <w:b/>
                <w:bCs/>
                <w:color w:val="1F4E79"/>
                <w:sz w:val="20"/>
                <w:szCs w:val="20"/>
              </w:rPr>
              <w:t xml:space="preserve">Std età</w:t>
            </w:r>
          </w:p>
        </w:tc>
      </w:tr>
      <w:tr>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Raw</w:t>
            </w:r>
          </w:p>
        </w:tc>
        <w:tc>
          <w:tcPr>
            <w:tcW w:type="dxa" w:w="3100"/>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df (tutti gli episodi)</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16.262</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57 aa</w:t>
            </w:r>
          </w:p>
        </w:tc>
        <w:tc>
          <w:tcPr>
            <w:tcW w:type="dxa" w:w="1660"/>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w:t>
            </w:r>
          </w:p>
        </w:tc>
      </w:tr>
      <w:tr>
        <w:tc>
          <w:tcPr>
            <w:tcW w:type="dxa" w:w="1200"/>
            <w:gridSpan w:val="1"/>
            <w:tcBorders>
              <w:top w:val="single" w:color="CCCCCC" w:sz="1"/>
              <w:left w:val="single" w:color="CCCCCC" w:sz="1"/>
              <w:bottom w:val="single" w:color="CCCCCC" w:sz="1"/>
              <w:right w:val="single" w:color="CCCCCC" w:sz="1"/>
            </w:tcBorders>
            <w:shd w:fill="F5F9FC"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De-duplicazione</w:t>
            </w:r>
          </w:p>
        </w:tc>
        <w:tc>
          <w:tcPr>
            <w:tcW w:type="dxa" w:w="3100"/>
            <w:gridSpan w:val="1"/>
            <w:tcBorders>
              <w:top w:val="single" w:color="CCCCCC" w:sz="1"/>
              <w:left w:val="single" w:color="CCCCCC" w:sz="1"/>
              <w:bottom w:val="single" w:color="CCCCCC" w:sz="1"/>
              <w:right w:val="single" w:color="CCCCCC" w:sz="1"/>
            </w:tcBorders>
            <w:shd w:fill="F5F9FC"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df_non_duplicate</w:t>
            </w:r>
          </w:p>
        </w:tc>
        <w:tc>
          <w:tcPr>
            <w:tcW w:type="dxa" w:w="1600"/>
            <w:gridSpan w:val="1"/>
            <w:tcBorders>
              <w:top w:val="single" w:color="CCCCCC" w:sz="1"/>
              <w:left w:val="single" w:color="CCCCCC" w:sz="1"/>
              <w:bottom w:val="single" w:color="CCCCCC" w:sz="1"/>
              <w:right w:val="single" w:color="CCCCCC" w:sz="1"/>
            </w:tcBorders>
            <w:shd w:fill="F5F9FC"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12.500</w:t>
            </w:r>
          </w:p>
        </w:tc>
        <w:tc>
          <w:tcPr>
            <w:tcW w:type="dxa" w:w="1800"/>
            <w:gridSpan w:val="1"/>
            <w:tcBorders>
              <w:top w:val="single" w:color="CCCCCC" w:sz="1"/>
              <w:left w:val="single" w:color="CCCCCC" w:sz="1"/>
              <w:bottom w:val="single" w:color="CCCCCC" w:sz="1"/>
              <w:right w:val="single" w:color="CCCCCC" w:sz="1"/>
            </w:tcBorders>
            <w:shd w:fill="F5F9FC"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57 aa</w:t>
            </w:r>
          </w:p>
        </w:tc>
        <w:tc>
          <w:tcPr>
            <w:tcW w:type="dxa" w:w="1660"/>
            <w:gridSpan w:val="1"/>
            <w:tcBorders>
              <w:top w:val="single" w:color="CCCCCC" w:sz="1"/>
              <w:left w:val="single" w:color="CCCCCC" w:sz="1"/>
              <w:bottom w:val="single" w:color="CCCCCC" w:sz="1"/>
              <w:right w:val="single" w:color="CCCCCC" w:sz="1"/>
            </w:tcBorders>
            <w:shd w:fill="F5F9FC"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17.3 aa</w:t>
            </w:r>
          </w:p>
        </w:tc>
      </w:tr>
      <w:tr>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Filtro 18–90 aa</w:t>
            </w:r>
          </w:p>
        </w:tc>
        <w:tc>
          <w:tcPr>
            <w:tcW w:type="dxa" w:w="3100"/>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df_drop_eta (pre-outlier)</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11.929</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57 aa</w:t>
            </w:r>
          </w:p>
        </w:tc>
        <w:tc>
          <w:tcPr>
            <w:tcW w:type="dxa" w:w="1660"/>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w:t>
            </w:r>
          </w:p>
        </w:tc>
      </w:tr>
      <w:tr>
        <w:tc>
          <w:tcPr>
            <w:tcW w:type="dxa" w:w="1200"/>
            <w:gridSpan w:val="1"/>
            <w:tcBorders>
              <w:top w:val="single" w:color="CCCCCC" w:sz="1"/>
              <w:left w:val="single" w:color="CCCCCC" w:sz="1"/>
              <w:bottom w:val="single" w:color="CCCCCC" w:sz="1"/>
              <w:right w:val="single" w:color="CCCCCC" w:sz="1"/>
            </w:tcBorders>
            <w:shd w:fill="F5F9FC"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Outlier removal</w:t>
            </w:r>
          </w:p>
        </w:tc>
        <w:tc>
          <w:tcPr>
            <w:tcW w:type="dxa" w:w="3100"/>
            <w:gridSpan w:val="1"/>
            <w:tcBorders>
              <w:top w:val="single" w:color="CCCCCC" w:sz="1"/>
              <w:left w:val="single" w:color="CCCCCC" w:sz="1"/>
              <w:bottom w:val="single" w:color="CCCCCC" w:sz="1"/>
              <w:right w:val="single" w:color="CCCCCC" w:sz="1"/>
            </w:tcBorders>
            <w:shd w:fill="F5F9FC"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df_drop_eta (finale)</w:t>
            </w:r>
          </w:p>
        </w:tc>
        <w:tc>
          <w:tcPr>
            <w:tcW w:type="dxa" w:w="1600"/>
            <w:gridSpan w:val="1"/>
            <w:tcBorders>
              <w:top w:val="single" w:color="CCCCCC" w:sz="1"/>
              <w:left w:val="single" w:color="CCCCCC" w:sz="1"/>
              <w:bottom w:val="single" w:color="CCCCCC" w:sz="1"/>
              <w:right w:val="single" w:color="CCCCCC" w:sz="1"/>
            </w:tcBorders>
            <w:shd w:fill="F5F9FC"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11.904</w:t>
            </w:r>
          </w:p>
        </w:tc>
        <w:tc>
          <w:tcPr>
            <w:tcW w:type="dxa" w:w="1800"/>
            <w:gridSpan w:val="1"/>
            <w:tcBorders>
              <w:top w:val="single" w:color="CCCCCC" w:sz="1"/>
              <w:left w:val="single" w:color="CCCCCC" w:sz="1"/>
              <w:bottom w:val="single" w:color="CCCCCC" w:sz="1"/>
              <w:right w:val="single" w:color="CCCCCC" w:sz="1"/>
            </w:tcBorders>
            <w:shd w:fill="F5F9FC"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57 aa</w:t>
            </w:r>
          </w:p>
        </w:tc>
        <w:tc>
          <w:tcPr>
            <w:tcW w:type="dxa" w:w="1660"/>
            <w:gridSpan w:val="1"/>
            <w:tcBorders>
              <w:top w:val="single" w:color="CCCCCC" w:sz="1"/>
              <w:left w:val="single" w:color="CCCCCC" w:sz="1"/>
              <w:bottom w:val="single" w:color="CCCCCC" w:sz="1"/>
              <w:right w:val="single" w:color="CCCCCC" w:sz="1"/>
            </w:tcBorders>
            <w:shd w:fill="F5F9FC"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17.1 aa</w:t>
            </w:r>
          </w:p>
        </w:tc>
      </w:tr>
    </w:tbl>
    <w:p>
      <w:pPr>
        <w:spacing w:after="0" w:before="0"/>
      </w:pPr>
      <w:r>
        <w:t xml:space="preserve"/>
      </w:r>
    </w:p>
    <w:p>
      <w:pPr>
        <w:pStyle w:val="Heading2"/>
        <w:spacing w:after="120" w:before="240"/>
      </w:pPr>
      <w:r>
        <w:rPr>
          <w:rFonts w:ascii="Arial" w:cs="Arial" w:eastAsia="Arial" w:hAnsi="Arial"/>
          <w:b/>
          <w:bCs/>
          <w:color w:val="2E75B6"/>
          <w:sz w:val="26"/>
          <w:szCs w:val="26"/>
        </w:rPr>
        <w:t xml:space="preserve">3.2 Pazienti Esclusi per Filtro Anagrafico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4960"/>
      </w:tblGrid>
      <w:tr>
        <w:tc>
          <w:tcPr>
            <w:tcW w:type="dxa" w:w="3200"/>
            <w:tcBorders>
              <w:top w:val="single" w:color="2E75B6" w:sz="1"/>
              <w:left w:val="single" w:color="2E75B6" w:sz="1"/>
              <w:bottom w:val="single" w:color="2E75B6" w:sz="1"/>
              <w:right w:val="single" w:color="2E75B6" w:sz="1"/>
            </w:tcBorders>
            <w:shd w:fill="BDD7EE" w:val="clear"/>
            <w:tcMar>
              <w:top w:type="dxa" w:w="80"/>
              <w:left w:type="dxa" w:w="100"/>
              <w:bottom w:type="dxa" w:w="80"/>
              <w:right w:type="dxa" w:w="100"/>
            </w:tcMar>
            <w:vAlign w:val="center"/>
          </w:tcPr>
          <w:p>
            <w:r>
              <w:rPr>
                <w:rFonts w:ascii="Arial" w:cs="Arial" w:eastAsia="Arial" w:hAnsi="Arial"/>
                <w:b/>
                <w:bCs/>
                <w:color w:val="1F4E79"/>
                <w:sz w:val="20"/>
                <w:szCs w:val="20"/>
              </w:rPr>
              <w:t xml:space="preserve">Criterio di esclusione</w:t>
            </w:r>
          </w:p>
        </w:tc>
        <w:tc>
          <w:tcPr>
            <w:tcW w:type="dxa" w:w="1200"/>
            <w:tcBorders>
              <w:top w:val="single" w:color="2E75B6" w:sz="1"/>
              <w:left w:val="single" w:color="2E75B6" w:sz="1"/>
              <w:bottom w:val="single" w:color="2E75B6" w:sz="1"/>
              <w:right w:val="single" w:color="2E75B6" w:sz="1"/>
            </w:tcBorders>
            <w:shd w:fill="BDD7EE" w:val="clear"/>
            <w:tcMar>
              <w:top w:type="dxa" w:w="80"/>
              <w:left w:type="dxa" w:w="100"/>
              <w:bottom w:type="dxa" w:w="80"/>
              <w:right w:type="dxa" w:w="100"/>
            </w:tcMar>
            <w:vAlign w:val="center"/>
          </w:tcPr>
          <w:p>
            <w:r>
              <w:rPr>
                <w:rFonts w:ascii="Arial" w:cs="Arial" w:eastAsia="Arial" w:hAnsi="Arial"/>
                <w:b/>
                <w:bCs/>
                <w:color w:val="1F4E79"/>
                <w:sz w:val="20"/>
                <w:szCs w:val="20"/>
              </w:rPr>
              <w:t xml:space="preserve">N. pazienti</w:t>
            </w:r>
          </w:p>
        </w:tc>
        <w:tc>
          <w:tcPr>
            <w:tcW w:type="dxa" w:w="4960"/>
            <w:tcBorders>
              <w:top w:val="single" w:color="2E75B6" w:sz="1"/>
              <w:left w:val="single" w:color="2E75B6" w:sz="1"/>
              <w:bottom w:val="single" w:color="2E75B6" w:sz="1"/>
              <w:right w:val="single" w:color="2E75B6" w:sz="1"/>
            </w:tcBorders>
            <w:shd w:fill="BDD7EE" w:val="clear"/>
            <w:tcMar>
              <w:top w:type="dxa" w:w="80"/>
              <w:left w:type="dxa" w:w="100"/>
              <w:bottom w:type="dxa" w:w="80"/>
              <w:right w:type="dxa" w:w="100"/>
            </w:tcMar>
            <w:vAlign w:val="center"/>
          </w:tcPr>
          <w:p>
            <w:r>
              <w:rPr>
                <w:rFonts w:ascii="Arial" w:cs="Arial" w:eastAsia="Arial" w:hAnsi="Arial"/>
                <w:b/>
                <w:bCs/>
                <w:color w:val="1F4E79"/>
                <w:sz w:val="20"/>
                <w:szCs w:val="20"/>
              </w:rPr>
              <w:t xml:space="preserve">Motivazione</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Età &lt; 18 anni</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251</w:t>
            </w:r>
          </w:p>
        </w:tc>
        <w:tc>
          <w:tcPr>
            <w:tcW w:type="dxa" w:w="4960"/>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Campione insufficiente; biologia pediatrica non confrontabile con adulti</w:t>
            </w:r>
          </w:p>
        </w:tc>
      </w:tr>
      <w:tr>
        <w:tc>
          <w:tcPr>
            <w:tcW w:type="dxa" w:w="3200"/>
            <w:gridSpan w:val="1"/>
            <w:tcBorders>
              <w:top w:val="single" w:color="CCCCCC" w:sz="1"/>
              <w:left w:val="single" w:color="CCCCCC" w:sz="1"/>
              <w:bottom w:val="single" w:color="CCCCCC" w:sz="1"/>
              <w:right w:val="single" w:color="CCCCCC" w:sz="1"/>
            </w:tcBorders>
            <w:shd w:fill="F5F9FC"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Età &gt; 90 anni</w:t>
            </w:r>
          </w:p>
        </w:tc>
        <w:tc>
          <w:tcPr>
            <w:tcW w:type="dxa" w:w="1200"/>
            <w:gridSpan w:val="1"/>
            <w:tcBorders>
              <w:top w:val="single" w:color="CCCCCC" w:sz="1"/>
              <w:left w:val="single" w:color="CCCCCC" w:sz="1"/>
              <w:bottom w:val="single" w:color="CCCCCC" w:sz="1"/>
              <w:right w:val="single" w:color="CCCCCC" w:sz="1"/>
            </w:tcBorders>
            <w:shd w:fill="F5F9FC"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320</w:t>
            </w:r>
          </w:p>
        </w:tc>
        <w:tc>
          <w:tcPr>
            <w:tcW w:type="dxa" w:w="4960"/>
            <w:gridSpan w:val="1"/>
            <w:tcBorders>
              <w:top w:val="single" w:color="CCCCCC" w:sz="1"/>
              <w:left w:val="single" w:color="CCCCCC" w:sz="1"/>
              <w:bottom w:val="single" w:color="CCCCCC" w:sz="1"/>
              <w:right w:val="single" w:color="CCCCCC" w:sz="1"/>
            </w:tcBorders>
            <w:shd w:fill="F5F9FC"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Campione insufficiente; fragilità estrema non rappresentata</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Totale esclusi</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571</w:t>
            </w:r>
          </w:p>
        </w:tc>
        <w:tc>
          <w:tcPr>
            <w:tcW w:type="dxa" w:w="4960"/>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4.6% del dataset de-duplicato</w:t>
            </w:r>
          </w:p>
        </w:tc>
      </w:tr>
    </w:tbl>
    <w:p>
      <w:pPr>
        <w:spacing w:after="0" w:before="0"/>
      </w:pPr>
      <w:r>
        <w:t xml:space="preserve"/>
      </w:r>
    </w:p>
    <w:p>
      <w:pPr>
        <w:pStyle w:val="Heading2"/>
        <w:spacing w:after="120" w:before="240"/>
      </w:pPr>
      <w:r>
        <w:rPr>
          <w:rFonts w:ascii="Arial" w:cs="Arial" w:eastAsia="Arial" w:hAnsi="Arial"/>
          <w:b/>
          <w:bCs/>
          <w:color w:val="2E75B6"/>
          <w:sz w:val="26"/>
          <w:szCs w:val="26"/>
        </w:rPr>
        <w:t xml:space="preserve">3.3 Rimozione Outlier</w:t>
      </w:r>
    </w:p>
    <w:p>
      <w:pPr>
        <w:spacing w:after="120" w:before="0"/>
        <w:jc w:val="left"/>
      </w:pPr>
      <w:r>
        <w:rPr>
          <w:rFonts w:ascii="Arial" w:cs="Arial" w:eastAsia="Arial" w:hAnsi="Arial"/>
          <w:b w:val="false"/>
          <w:bCs w:val="false"/>
          <w:color w:val="000000"/>
          <w:sz w:val="24"/>
          <w:szCs w:val="24"/>
        </w:rPr>
        <w:t xml:space="preserve">La pipeline di rimozione outlier implementata nel notebook segue due step documentati e tracciabili:</w:t>
      </w:r>
    </w:p>
    <w:p>
      <w:pPr>
        <w:spacing w:after="0" w:before="0"/>
      </w:pPr>
      <w:r>
        <w:t xml:space="preserve"/>
      </w:r>
    </w:p>
    <w:p>
      <w:pPr>
        <w:pStyle w:val="ListParagraph"/>
        <w:numPr>
          <w:ilvl w:val="0"/>
          <w:numId w:val="2"/>
        </w:numPr>
        <w:spacing w:after="60" w:before="0"/>
      </w:pPr>
      <w:r>
        <w:rPr>
          <w:rFonts w:ascii="Arial" w:cs="Arial" w:eastAsia="Arial" w:hAnsi="Arial"/>
          <w:sz w:val="22"/>
          <w:szCs w:val="22"/>
        </w:rPr>
        <w:t xml:space="preserve">Step A — Valori ≤ 0: biologicamente impossibili. Rimossi su tutti i 13 marker (nessuno rilevato nel dataset attuale).</w:t>
      </w:r>
    </w:p>
    <w:p>
      <w:pPr>
        <w:pStyle w:val="ListParagraph"/>
        <w:numPr>
          <w:ilvl w:val="0"/>
          <w:numId w:val="2"/>
        </w:numPr>
        <w:spacing w:after="60" w:before="0"/>
      </w:pPr>
      <w:r>
        <w:rPr>
          <w:rFonts w:ascii="Arial" w:cs="Arial" w:eastAsia="Arial" w:hAnsi="Arial"/>
          <w:sz w:val="22"/>
          <w:szCs w:val="22"/>
        </w:rPr>
        <w:t xml:space="preserve">Step B — Soglie ULN × 4: per ogni marker viene applicata la soglia equivalente a quattro volte il limite superiore di riferimento clinico. Valori oltre questa soglia sono considerati probabili errori di inserimento. Rimossi 25 record.</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2"/>
              <w:bottom w:val="single" w:color="2E75B6" w:sz="1"/>
              <w:right w:val="single" w:color="2E75B6" w:sz="1"/>
            </w:tcBorders>
            <w:shd w:fill="D6E4F0" w:val="clear"/>
            <w:tcMar>
              <w:top w:type="dxa" w:w="100"/>
              <w:left w:type="dxa" w:w="180"/>
              <w:bottom w:type="dxa" w:w="100"/>
              <w:right w:type="dxa" w:w="180"/>
            </w:tcMar>
          </w:tcPr>
          <w:p>
            <w:pPr>
              <w:spacing w:after="60" w:before="0"/>
            </w:pPr>
            <w:r>
              <w:rPr>
                <w:rFonts w:ascii="Arial" w:cs="Arial" w:eastAsia="Arial" w:hAnsi="Arial"/>
                <w:b/>
                <w:bCs/>
                <w:sz w:val="22"/>
                <w:szCs w:val="22"/>
              </w:rPr>
              <w:t xml:space="preserve">Nota metodologica — Scelta della soglia ULN×4</w:t>
            </w:r>
          </w:p>
          <w:p>
            <w:pPr>
              <w:spacing w:after="40" w:before="0"/>
            </w:pPr>
            <w:r>
              <w:rPr>
                <w:rFonts w:ascii="Arial" w:cs="Arial" w:eastAsia="Arial" w:hAnsi="Arial"/>
                <w:sz w:val="20"/>
                <w:szCs w:val="20"/>
              </w:rPr>
              <w:t xml:space="preserve">La soglia ULN×4 è preferita all'IQR perché su dati clinici l'IQR rimuoverebbe anche valori patologici reali e informativi per il modello (es. trigliceridi 800 mg/dL in ipertrigliceridemia severa).</w:t>
            </w:r>
          </w:p>
          <w:p>
            <w:pPr>
              <w:spacing w:after="40" w:before="0"/>
            </w:pPr>
            <w:r>
              <w:rPr>
                <w:rFonts w:ascii="Arial" w:cs="Arial" w:eastAsia="Arial" w:hAnsi="Arial"/>
                <w:sz w:val="20"/>
                <w:szCs w:val="20"/>
              </w:rPr>
              <w:t xml:space="preserve">La soglia basata sul contenuto clinico preserva la variabilità biologica reale rimuovendo solo i valori che con alta probabilità sono errori di trascrizione.</w:t>
            </w:r>
          </w:p>
        </w:tc>
      </w:tr>
    </w:tbl>
    <w:p>
      <w:pPr>
        <w:spacing w:after="0" w:before="0"/>
      </w:pPr>
      <w:r>
        <w:t xml:space="preserve"/>
      </w:r>
    </w:p>
    <w:p>
      <w:pPr>
        <w:pStyle w:val="Heading1"/>
        <w:spacing w:after="180" w:before="360"/>
      </w:pPr>
      <w:r>
        <w:rPr>
          <w:rFonts w:ascii="Arial" w:cs="Arial" w:eastAsia="Arial" w:hAnsi="Arial"/>
          <w:b/>
          <w:bCs/>
          <w:color w:val="1F4E79"/>
          <w:sz w:val="32"/>
          <w:szCs w:val="32"/>
        </w:rPr>
        <w:t xml:space="preserve">4. Anomalia Storica dell’Età — Problema Critico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2"/>
              <w:bottom w:val="single" w:color="C55A11" w:sz="1"/>
              <w:right w:val="single" w:color="C55A11" w:sz="1"/>
            </w:tcBorders>
            <w:shd w:fill="FCE4D6" w:val="clear"/>
            <w:tcMar>
              <w:top w:type="dxa" w:w="100"/>
              <w:left w:type="dxa" w:w="180"/>
              <w:bottom w:type="dxa" w:w="100"/>
              <w:right w:type="dxa" w:w="180"/>
            </w:tcMar>
          </w:tcPr>
          <w:p>
            <w:pPr>
              <w:spacing w:after="60" w:before="0"/>
            </w:pPr>
            <w:r>
              <w:rPr>
                <w:rFonts w:ascii="Arial" w:cs="Arial" w:eastAsia="Arial" w:hAnsi="Arial"/>
                <w:b/>
                <w:bCs/>
                <w:sz w:val="22"/>
                <w:szCs w:val="22"/>
              </w:rPr>
              <w:t xml:space="preserve">PROBLEMA CRITICO — Congelamento dell’età nei record storici</w:t>
            </w:r>
          </w:p>
          <w:p>
            <w:pPr>
              <w:spacing w:after="40" w:before="0"/>
            </w:pPr>
            <w:r>
              <w:rPr>
                <w:rFonts w:ascii="Arial" w:cs="Arial" w:eastAsia="Arial" w:hAnsi="Arial"/>
                <w:sz w:val="20"/>
                <w:szCs w:val="20"/>
              </w:rPr>
              <w:t xml:space="preserve">Il dataset copre ~5 anni (2021–2026). Per i pazienti con più esami in anni diversi, l’età anagrafica NON è mai stata aggiornata nei record precedenti.</w:t>
            </w:r>
          </w:p>
          <w:p>
            <w:pPr>
              <w:spacing w:after="40" w:before="0"/>
            </w:pPr>
            <w:r>
              <w:rPr>
                <w:rFonts w:ascii="Arial" w:cs="Arial" w:eastAsia="Arial" w:hAnsi="Arial"/>
                <w:sz w:val="20"/>
                <w:szCs w:val="20"/>
              </w:rPr>
              <w:t xml:space="preserve">Conseguenza: un paziente con 50 anni nel 2021 compare con 50 anni anche nel record del 2026, quando in realtà ne ha 55.</w:t>
            </w:r>
          </w:p>
          <w:p>
            <w:pPr>
              <w:spacing w:after="40" w:before="0"/>
            </w:pPr>
            <w:r>
              <w:rPr>
                <w:rFonts w:ascii="Arial" w:cs="Arial" w:eastAsia="Arial" w:hAnsi="Arial"/>
                <w:sz w:val="20"/>
                <w:szCs w:val="20"/>
              </w:rPr>
              <w:t xml:space="preserve">Uno scarto di fino a 5 anni sulla variabile target è inaccettabile per un modello di età biologica.</w:t>
            </w:r>
          </w:p>
        </w:tc>
      </w:tr>
    </w:tbl>
    <w:p>
      <w:pPr>
        <w:spacing w:after="0" w:before="0"/>
      </w:pPr>
      <w:r>
        <w:t xml:space="preserve"/>
      </w:r>
    </w:p>
    <w:p>
      <w:pPr>
        <w:pStyle w:val="Heading2"/>
        <w:spacing w:after="120" w:before="240"/>
      </w:pPr>
      <w:r>
        <w:rPr>
          <w:rFonts w:ascii="Arial" w:cs="Arial" w:eastAsia="Arial" w:hAnsi="Arial"/>
          <w:b/>
          <w:bCs/>
          <w:color w:val="2E75B6"/>
          <w:sz w:val="26"/>
          <w:szCs w:val="26"/>
        </w:rPr>
        <w:t xml:space="preserve">4.1 Impatto sul Modello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800"/>
        <w:gridCol w:w="3760"/>
      </w:tblGrid>
      <w:tr>
        <w:tc>
          <w:tcPr>
            <w:tcW w:type="dxa" w:w="3800"/>
            <w:tcBorders>
              <w:top w:val="single" w:color="2E75B6" w:sz="1"/>
              <w:left w:val="single" w:color="2E75B6" w:sz="1"/>
              <w:bottom w:val="single" w:color="2E75B6" w:sz="1"/>
              <w:right w:val="single" w:color="2E75B6" w:sz="1"/>
            </w:tcBorders>
            <w:shd w:fill="BDD7EE" w:val="clear"/>
            <w:tcMar>
              <w:top w:type="dxa" w:w="80"/>
              <w:left w:type="dxa" w:w="100"/>
              <w:bottom w:type="dxa" w:w="80"/>
              <w:right w:type="dxa" w:w="100"/>
            </w:tcMar>
            <w:vAlign w:val="center"/>
          </w:tcPr>
          <w:p>
            <w:r>
              <w:rPr>
                <w:rFonts w:ascii="Arial" w:cs="Arial" w:eastAsia="Arial" w:hAnsi="Arial"/>
                <w:b/>
                <w:bCs/>
                <w:color w:val="1F4E79"/>
                <w:sz w:val="20"/>
                <w:szCs w:val="20"/>
              </w:rPr>
              <w:t xml:space="preserve">Scenario</w:t>
            </w:r>
          </w:p>
        </w:tc>
        <w:tc>
          <w:tcPr>
            <w:tcW w:type="dxa" w:w="1800"/>
            <w:tcBorders>
              <w:top w:val="single" w:color="2E75B6" w:sz="1"/>
              <w:left w:val="single" w:color="2E75B6" w:sz="1"/>
              <w:bottom w:val="single" w:color="2E75B6" w:sz="1"/>
              <w:right w:val="single" w:color="2E75B6" w:sz="1"/>
            </w:tcBorders>
            <w:shd w:fill="BDD7EE" w:val="clear"/>
            <w:tcMar>
              <w:top w:type="dxa" w:w="80"/>
              <w:left w:type="dxa" w:w="100"/>
              <w:bottom w:type="dxa" w:w="80"/>
              <w:right w:type="dxa" w:w="100"/>
            </w:tcMar>
            <w:vAlign w:val="center"/>
          </w:tcPr>
          <w:p>
            <w:r>
              <w:rPr>
                <w:rFonts w:ascii="Arial" w:cs="Arial" w:eastAsia="Arial" w:hAnsi="Arial"/>
                <w:b/>
                <w:bCs/>
                <w:color w:val="1F4E79"/>
                <w:sz w:val="20"/>
                <w:szCs w:val="20"/>
              </w:rPr>
              <w:t xml:space="preserve">Scarto età (anni)</w:t>
            </w:r>
          </w:p>
        </w:tc>
        <w:tc>
          <w:tcPr>
            <w:tcW w:type="dxa" w:w="3760"/>
            <w:tcBorders>
              <w:top w:val="single" w:color="2E75B6" w:sz="1"/>
              <w:left w:val="single" w:color="2E75B6" w:sz="1"/>
              <w:bottom w:val="single" w:color="2E75B6" w:sz="1"/>
              <w:right w:val="single" w:color="2E75B6" w:sz="1"/>
            </w:tcBorders>
            <w:shd w:fill="BDD7EE" w:val="clear"/>
            <w:tcMar>
              <w:top w:type="dxa" w:w="80"/>
              <w:left w:type="dxa" w:w="100"/>
              <w:bottom w:type="dxa" w:w="80"/>
              <w:right w:type="dxa" w:w="100"/>
            </w:tcMar>
            <w:vAlign w:val="center"/>
          </w:tcPr>
          <w:p>
            <w:r>
              <w:rPr>
                <w:rFonts w:ascii="Arial" w:cs="Arial" w:eastAsia="Arial" w:hAnsi="Arial"/>
                <w:b/>
                <w:bCs/>
                <w:color w:val="1F4E79"/>
                <w:sz w:val="20"/>
                <w:szCs w:val="20"/>
              </w:rPr>
              <w:t xml:space="preserve">Impatto sul modello</w:t>
            </w:r>
          </w:p>
        </w:tc>
      </w:tr>
      <w:tr>
        <w:tc>
          <w:tcPr>
            <w:tcW w:type="dxa" w:w="3800"/>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Esame unico (no ripetizioni)</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0</w:t>
            </w:r>
          </w:p>
        </w:tc>
        <w:tc>
          <w:tcPr>
            <w:tcW w:type="dxa" w:w="3760"/>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Nessun problema — età corretta</w:t>
            </w:r>
          </w:p>
        </w:tc>
      </w:tr>
      <w:tr>
        <w:tc>
          <w:tcPr>
            <w:tcW w:type="dxa" w:w="3800"/>
            <w:gridSpan w:val="1"/>
            <w:tcBorders>
              <w:top w:val="single" w:color="CCCCCC" w:sz="1"/>
              <w:left w:val="single" w:color="CCCCCC" w:sz="1"/>
              <w:bottom w:val="single" w:color="CCCCCC" w:sz="1"/>
              <w:right w:val="single" w:color="CCCCCC" w:sz="1"/>
            </w:tcBorders>
            <w:shd w:fill="F5F9FC"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2 esami a distanza di 1–2 anni</w:t>
            </w:r>
          </w:p>
        </w:tc>
        <w:tc>
          <w:tcPr>
            <w:tcW w:type="dxa" w:w="1800"/>
            <w:gridSpan w:val="1"/>
            <w:tcBorders>
              <w:top w:val="single" w:color="CCCCCC" w:sz="1"/>
              <w:left w:val="single" w:color="CCCCCC" w:sz="1"/>
              <w:bottom w:val="single" w:color="CCCCCC" w:sz="1"/>
              <w:right w:val="single" w:color="CCCCCC" w:sz="1"/>
            </w:tcBorders>
            <w:shd w:fill="F5F9FC"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1–2</w:t>
            </w:r>
          </w:p>
        </w:tc>
        <w:tc>
          <w:tcPr>
            <w:tcW w:type="dxa" w:w="3760"/>
            <w:gridSpan w:val="1"/>
            <w:tcBorders>
              <w:top w:val="single" w:color="CCCCCC" w:sz="1"/>
              <w:left w:val="single" w:color="CCCCCC" w:sz="1"/>
              <w:bottom w:val="single" w:color="CCCCCC" w:sz="1"/>
              <w:right w:val="single" w:color="CCCCCC" w:sz="1"/>
            </w:tcBorders>
            <w:shd w:fill="F5F9FC"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Rumore accettabile ma non ideale</w:t>
            </w:r>
          </w:p>
        </w:tc>
      </w:tr>
      <w:tr>
        <w:tc>
          <w:tcPr>
            <w:tcW w:type="dxa" w:w="3800"/>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3+ esami su 3–5 anni</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3–5</w:t>
            </w:r>
          </w:p>
        </w:tc>
        <w:tc>
          <w:tcPr>
            <w:tcW w:type="dxa" w:w="3760"/>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Problema grave — label errata in quasi tutti i record storici</w:t>
            </w:r>
          </w:p>
        </w:tc>
      </w:tr>
    </w:tbl>
    <w:p>
      <w:pPr>
        <w:spacing w:after="0" w:before="0"/>
      </w:pPr>
      <w:r>
        <w:t xml:space="preserve"/>
      </w:r>
    </w:p>
    <w:p>
      <w:pPr>
        <w:pStyle w:val="Heading2"/>
        <w:spacing w:after="120" w:before="240"/>
      </w:pPr>
      <w:r>
        <w:rPr>
          <w:rFonts w:ascii="Arial" w:cs="Arial" w:eastAsia="Arial" w:hAnsi="Arial"/>
          <w:b/>
          <w:bCs/>
          <w:color w:val="2E75B6"/>
          <w:sz w:val="26"/>
          <w:szCs w:val="26"/>
        </w:rPr>
        <w:t xml:space="preserve">4.2 Strategia Adottata</w:t>
      </w:r>
    </w:p>
    <w:p>
      <w:pPr>
        <w:spacing w:after="120" w:before="0"/>
        <w:jc w:val="left"/>
      </w:pPr>
      <w:r>
        <w:rPr>
          <w:rFonts w:ascii="Arial" w:cs="Arial" w:eastAsia="Arial" w:hAnsi="Arial"/>
          <w:b w:val="false"/>
          <w:bCs w:val="false"/>
          <w:color w:val="000000"/>
          <w:sz w:val="24"/>
          <w:szCs w:val="24"/>
        </w:rPr>
        <w:t xml:space="preserve">La scelta prudenziale adottata è di escludere dal dataset di addestramento i pazienti per cui si rileva un'età invariata tra esami effettuati in anni di calendario diversi. Il criterio è: se un paziente ha almeno due esami in anni diversi con lo stesso valore di età registrato, tutti i suoi record vengono rimossi.</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8F00" w:sz="1"/>
              <w:left w:val="single" w:color="BF8F00" w:sz="12"/>
              <w:bottom w:val="single" w:color="BF8F00" w:sz="1"/>
              <w:right w:val="single" w:color="BF8F00" w:sz="1"/>
            </w:tcBorders>
            <w:shd w:fill="FFF2CC" w:val="clear"/>
            <w:tcMar>
              <w:top w:type="dxa" w:w="100"/>
              <w:left w:type="dxa" w:w="180"/>
              <w:bottom w:type="dxa" w:w="100"/>
              <w:right w:type="dxa" w:w="180"/>
            </w:tcMar>
          </w:tcPr>
          <w:p>
            <w:pPr>
              <w:spacing w:after="60" w:before="0"/>
            </w:pPr>
            <w:r>
              <w:rPr>
                <w:rFonts w:ascii="Arial" w:cs="Arial" w:eastAsia="Arial" w:hAnsi="Arial"/>
                <w:b/>
                <w:bCs/>
                <w:sz w:val="22"/>
                <w:szCs w:val="22"/>
              </w:rPr>
              <w:t xml:space="preserve">Raccomandazione al Laboratorio</w:t>
            </w:r>
          </w:p>
          <w:p>
            <w:pPr>
              <w:spacing w:after="40" w:before="0"/>
            </w:pPr>
            <w:r>
              <w:rPr>
                <w:rFonts w:ascii="Arial" w:cs="Arial" w:eastAsia="Arial" w:hAnsi="Arial"/>
                <w:sz w:val="20"/>
                <w:szCs w:val="20"/>
              </w:rPr>
              <w:t xml:space="preserve">Richiedere l'export con la data di nascita come campo separato. Questo permetterebbe di calcolare l'età esatta per ogni episodio, recuperando i dati longitudinali attualmente inutilizzabili senza perdita di record.</w:t>
            </w:r>
          </w:p>
        </w:tc>
      </w:tr>
    </w:tbl>
    <w:p>
      <w:pPr>
        <w:spacing w:after="0" w:before="0"/>
      </w:pPr>
      <w:r>
        <w:t xml:space="preserve"/>
      </w:r>
    </w:p>
    <w:p>
      <w:pPr>
        <w:pStyle w:val="Heading1"/>
        <w:spacing w:after="180" w:before="360"/>
      </w:pPr>
      <w:r>
        <w:rPr>
          <w:rFonts w:ascii="Arial" w:cs="Arial" w:eastAsia="Arial" w:hAnsi="Arial"/>
          <w:b/>
          <w:bCs/>
          <w:color w:val="1F4E79"/>
          <w:sz w:val="32"/>
          <w:szCs w:val="32"/>
        </w:rPr>
        <w:t xml:space="preserve">5. Distribuzione dell’Età per Sesso</w:t>
      </w:r>
    </w:p>
    <w:p>
      <w:pPr>
        <w:spacing w:after="120" w:before="0"/>
        <w:jc w:val="left"/>
      </w:pPr>
      <w:r>
        <w:rPr>
          <w:rFonts w:ascii="Arial" w:cs="Arial" w:eastAsia="Arial" w:hAnsi="Arial"/>
          <w:b w:val="false"/>
          <w:bCs w:val="false"/>
          <w:color w:val="000000"/>
          <w:sz w:val="24"/>
          <w:szCs w:val="24"/>
        </w:rPr>
        <w:t xml:space="preserve">L'analisi della distribuzione dell'età per sesso è condotta sul dataset finale (n = 11.904 pazienti, dopo cleaning completo). Il test statistico adottato è il Mann-Whitney U (non parametrico, non presuppone normalità della distribuzione).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100"/>
        <w:gridCol w:w="2100"/>
        <w:gridCol w:w="2360"/>
      </w:tblGrid>
      <w:tr>
        <w:tc>
          <w:tcPr>
            <w:tcW w:type="dxa" w:w="2800"/>
            <w:tcBorders>
              <w:top w:val="single" w:color="2E75B6" w:sz="1"/>
              <w:left w:val="single" w:color="2E75B6" w:sz="1"/>
              <w:bottom w:val="single" w:color="2E75B6" w:sz="1"/>
              <w:right w:val="single" w:color="2E75B6" w:sz="1"/>
            </w:tcBorders>
            <w:shd w:fill="BDD7EE" w:val="clear"/>
            <w:tcMar>
              <w:top w:type="dxa" w:w="80"/>
              <w:left w:type="dxa" w:w="100"/>
              <w:bottom w:type="dxa" w:w="80"/>
              <w:right w:type="dxa" w:w="100"/>
            </w:tcMar>
            <w:vAlign w:val="center"/>
          </w:tcPr>
          <w:p>
            <w:r>
              <w:rPr>
                <w:rFonts w:ascii="Arial" w:cs="Arial" w:eastAsia="Arial" w:hAnsi="Arial"/>
                <w:b/>
                <w:bCs/>
                <w:color w:val="1F4E79"/>
                <w:sz w:val="20"/>
                <w:szCs w:val="20"/>
              </w:rPr>
              <w:t xml:space="preserve">Statistica</w:t>
            </w:r>
          </w:p>
        </w:tc>
        <w:tc>
          <w:tcPr>
            <w:tcW w:type="dxa" w:w="2100"/>
            <w:tcBorders>
              <w:top w:val="single" w:color="2E75B6" w:sz="1"/>
              <w:left w:val="single" w:color="2E75B6" w:sz="1"/>
              <w:bottom w:val="single" w:color="2E75B6" w:sz="1"/>
              <w:right w:val="single" w:color="2E75B6" w:sz="1"/>
            </w:tcBorders>
            <w:shd w:fill="BDD7EE" w:val="clear"/>
            <w:tcMar>
              <w:top w:type="dxa" w:w="80"/>
              <w:left w:type="dxa" w:w="100"/>
              <w:bottom w:type="dxa" w:w="80"/>
              <w:right w:type="dxa" w:w="100"/>
            </w:tcMar>
            <w:vAlign w:val="center"/>
          </w:tcPr>
          <w:p>
            <w:r>
              <w:rPr>
                <w:rFonts w:ascii="Arial" w:cs="Arial" w:eastAsia="Arial" w:hAnsi="Arial"/>
                <w:b/>
                <w:bCs/>
                <w:color w:val="1F4E79"/>
                <w:sz w:val="20"/>
                <w:szCs w:val="20"/>
              </w:rPr>
              <w:t xml:space="preserve">Femmine (F)</w:t>
            </w:r>
          </w:p>
        </w:tc>
        <w:tc>
          <w:tcPr>
            <w:tcW w:type="dxa" w:w="2100"/>
            <w:tcBorders>
              <w:top w:val="single" w:color="2E75B6" w:sz="1"/>
              <w:left w:val="single" w:color="2E75B6" w:sz="1"/>
              <w:bottom w:val="single" w:color="2E75B6" w:sz="1"/>
              <w:right w:val="single" w:color="2E75B6" w:sz="1"/>
            </w:tcBorders>
            <w:shd w:fill="BDD7EE" w:val="clear"/>
            <w:tcMar>
              <w:top w:type="dxa" w:w="80"/>
              <w:left w:type="dxa" w:w="100"/>
              <w:bottom w:type="dxa" w:w="80"/>
              <w:right w:type="dxa" w:w="100"/>
            </w:tcMar>
            <w:vAlign w:val="center"/>
          </w:tcPr>
          <w:p>
            <w:r>
              <w:rPr>
                <w:rFonts w:ascii="Arial" w:cs="Arial" w:eastAsia="Arial" w:hAnsi="Arial"/>
                <w:b/>
                <w:bCs/>
                <w:color w:val="1F4E79"/>
                <w:sz w:val="20"/>
                <w:szCs w:val="20"/>
              </w:rPr>
              <w:t xml:space="preserve">Maschi (M)</w:t>
            </w:r>
          </w:p>
        </w:tc>
        <w:tc>
          <w:tcPr>
            <w:tcW w:type="dxa" w:w="2360"/>
            <w:tcBorders>
              <w:top w:val="single" w:color="2E75B6" w:sz="1"/>
              <w:left w:val="single" w:color="2E75B6" w:sz="1"/>
              <w:bottom w:val="single" w:color="2E75B6" w:sz="1"/>
              <w:right w:val="single" w:color="2E75B6" w:sz="1"/>
            </w:tcBorders>
            <w:shd w:fill="BDD7EE" w:val="clear"/>
            <w:tcMar>
              <w:top w:type="dxa" w:w="80"/>
              <w:left w:type="dxa" w:w="100"/>
              <w:bottom w:type="dxa" w:w="80"/>
              <w:right w:type="dxa" w:w="100"/>
            </w:tcMar>
            <w:vAlign w:val="center"/>
          </w:tcPr>
          <w:p>
            <w:r>
              <w:rPr>
                <w:rFonts w:ascii="Arial" w:cs="Arial" w:eastAsia="Arial" w:hAnsi="Arial"/>
                <w:b/>
                <w:bCs/>
                <w:color w:val="1F4E79"/>
                <w:sz w:val="20"/>
                <w:szCs w:val="20"/>
              </w:rPr>
              <w:t xml:space="preserve">Totale</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N pazienti</w:t>
            </w:r>
          </w:p>
        </w:tc>
        <w:tc>
          <w:tcPr>
            <w:tcW w:type="dxa" w:w="2100"/>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6.356</w:t>
            </w:r>
          </w:p>
        </w:tc>
        <w:tc>
          <w:tcPr>
            <w:tcW w:type="dxa" w:w="2100"/>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5.548</w:t>
            </w:r>
          </w:p>
        </w:tc>
        <w:tc>
          <w:tcPr>
            <w:tcW w:type="dxa" w:w="2360"/>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11.904</w:t>
            </w:r>
          </w:p>
        </w:tc>
      </w:tr>
      <w:tr>
        <w:tc>
          <w:tcPr>
            <w:tcW w:type="dxa" w:w="2800"/>
            <w:gridSpan w:val="1"/>
            <w:tcBorders>
              <w:top w:val="single" w:color="CCCCCC" w:sz="1"/>
              <w:left w:val="single" w:color="CCCCCC" w:sz="1"/>
              <w:bottom w:val="single" w:color="CCCCCC" w:sz="1"/>
              <w:right w:val="single" w:color="CCCCCC" w:sz="1"/>
            </w:tcBorders>
            <w:shd w:fill="F5F9FC"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Età media (aa)</w:t>
            </w:r>
          </w:p>
        </w:tc>
        <w:tc>
          <w:tcPr>
            <w:tcW w:type="dxa" w:w="2100"/>
            <w:gridSpan w:val="1"/>
            <w:tcBorders>
              <w:top w:val="single" w:color="CCCCCC" w:sz="1"/>
              <w:left w:val="single" w:color="CCCCCC" w:sz="1"/>
              <w:bottom w:val="single" w:color="CCCCCC" w:sz="1"/>
              <w:right w:val="single" w:color="CCCCCC" w:sz="1"/>
            </w:tcBorders>
            <w:shd w:fill="F5F9FC"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56.2</w:t>
            </w:r>
          </w:p>
        </w:tc>
        <w:tc>
          <w:tcPr>
            <w:tcW w:type="dxa" w:w="2100"/>
            <w:gridSpan w:val="1"/>
            <w:tcBorders>
              <w:top w:val="single" w:color="CCCCCC" w:sz="1"/>
              <w:left w:val="single" w:color="CCCCCC" w:sz="1"/>
              <w:bottom w:val="single" w:color="CCCCCC" w:sz="1"/>
              <w:right w:val="single" w:color="CCCCCC" w:sz="1"/>
            </w:tcBorders>
            <w:shd w:fill="F5F9FC"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57.5</w:t>
            </w:r>
          </w:p>
        </w:tc>
        <w:tc>
          <w:tcPr>
            <w:tcW w:type="dxa" w:w="2360"/>
            <w:gridSpan w:val="1"/>
            <w:tcBorders>
              <w:top w:val="single" w:color="CCCCCC" w:sz="1"/>
              <w:left w:val="single" w:color="CCCCCC" w:sz="1"/>
              <w:bottom w:val="single" w:color="CCCCCC" w:sz="1"/>
              <w:right w:val="single" w:color="CCCCCC" w:sz="1"/>
            </w:tcBorders>
            <w:shd w:fill="F5F9FC"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56.8</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Età mediana (aa)</w:t>
            </w:r>
          </w:p>
        </w:tc>
        <w:tc>
          <w:tcPr>
            <w:tcW w:type="dxa" w:w="2100"/>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56</w:t>
            </w:r>
          </w:p>
        </w:tc>
        <w:tc>
          <w:tcPr>
            <w:tcW w:type="dxa" w:w="2100"/>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58</w:t>
            </w:r>
          </w:p>
        </w:tc>
        <w:tc>
          <w:tcPr>
            <w:tcW w:type="dxa" w:w="2360"/>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57</w:t>
            </w:r>
          </w:p>
        </w:tc>
      </w:tr>
      <w:tr>
        <w:tc>
          <w:tcPr>
            <w:tcW w:type="dxa" w:w="2800"/>
            <w:gridSpan w:val="1"/>
            <w:tcBorders>
              <w:top w:val="single" w:color="CCCCCC" w:sz="1"/>
              <w:left w:val="single" w:color="CCCCCC" w:sz="1"/>
              <w:bottom w:val="single" w:color="CCCCCC" w:sz="1"/>
              <w:right w:val="single" w:color="CCCCCC" w:sz="1"/>
            </w:tcBorders>
            <w:shd w:fill="F5F9FC"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Deviazione standard</w:t>
            </w:r>
          </w:p>
        </w:tc>
        <w:tc>
          <w:tcPr>
            <w:tcW w:type="dxa" w:w="2100"/>
            <w:gridSpan w:val="1"/>
            <w:tcBorders>
              <w:top w:val="single" w:color="CCCCCC" w:sz="1"/>
              <w:left w:val="single" w:color="CCCCCC" w:sz="1"/>
              <w:bottom w:val="single" w:color="CCCCCC" w:sz="1"/>
              <w:right w:val="single" w:color="CCCCCC" w:sz="1"/>
            </w:tcBorders>
            <w:shd w:fill="F5F9FC"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17.3</w:t>
            </w:r>
          </w:p>
        </w:tc>
        <w:tc>
          <w:tcPr>
            <w:tcW w:type="dxa" w:w="2100"/>
            <w:gridSpan w:val="1"/>
            <w:tcBorders>
              <w:top w:val="single" w:color="CCCCCC" w:sz="1"/>
              <w:left w:val="single" w:color="CCCCCC" w:sz="1"/>
              <w:bottom w:val="single" w:color="CCCCCC" w:sz="1"/>
              <w:right w:val="single" w:color="CCCCCC" w:sz="1"/>
            </w:tcBorders>
            <w:shd w:fill="F5F9FC"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16.8</w:t>
            </w:r>
          </w:p>
        </w:tc>
        <w:tc>
          <w:tcPr>
            <w:tcW w:type="dxa" w:w="2360"/>
            <w:gridSpan w:val="1"/>
            <w:tcBorders>
              <w:top w:val="single" w:color="CCCCCC" w:sz="1"/>
              <w:left w:val="single" w:color="CCCCCC" w:sz="1"/>
              <w:bottom w:val="single" w:color="CCCCCC" w:sz="1"/>
              <w:right w:val="single" w:color="CCCCCC" w:sz="1"/>
            </w:tcBorders>
            <w:shd w:fill="F5F9FC"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17.1</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Q1 — Q3 (aa)</w:t>
            </w:r>
          </w:p>
        </w:tc>
        <w:tc>
          <w:tcPr>
            <w:tcW w:type="dxa" w:w="2100"/>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43 — 70</w:t>
            </w:r>
          </w:p>
        </w:tc>
        <w:tc>
          <w:tcPr>
            <w:tcW w:type="dxa" w:w="2100"/>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45 — 70</w:t>
            </w:r>
          </w:p>
        </w:tc>
        <w:tc>
          <w:tcPr>
            <w:tcW w:type="dxa" w:w="2360"/>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44 — 70</w:t>
            </w:r>
          </w:p>
        </w:tc>
      </w:tr>
      <w:tr>
        <w:tc>
          <w:tcPr>
            <w:tcW w:type="dxa" w:w="2800"/>
            <w:gridSpan w:val="1"/>
            <w:tcBorders>
              <w:top w:val="single" w:color="CCCCCC" w:sz="1"/>
              <w:left w:val="single" w:color="CCCCCC" w:sz="1"/>
              <w:bottom w:val="single" w:color="CCCCCC" w:sz="1"/>
              <w:right w:val="single" w:color="CCCCCC" w:sz="1"/>
            </w:tcBorders>
            <w:shd w:fill="F5F9FC"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Età minima</w:t>
            </w:r>
          </w:p>
        </w:tc>
        <w:tc>
          <w:tcPr>
            <w:tcW w:type="dxa" w:w="2100"/>
            <w:gridSpan w:val="1"/>
            <w:tcBorders>
              <w:top w:val="single" w:color="CCCCCC" w:sz="1"/>
              <w:left w:val="single" w:color="CCCCCC" w:sz="1"/>
              <w:bottom w:val="single" w:color="CCCCCC" w:sz="1"/>
              <w:right w:val="single" w:color="CCCCCC" w:sz="1"/>
            </w:tcBorders>
            <w:shd w:fill="F5F9FC"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18</w:t>
            </w:r>
          </w:p>
        </w:tc>
        <w:tc>
          <w:tcPr>
            <w:tcW w:type="dxa" w:w="2100"/>
            <w:gridSpan w:val="1"/>
            <w:tcBorders>
              <w:top w:val="single" w:color="CCCCCC" w:sz="1"/>
              <w:left w:val="single" w:color="CCCCCC" w:sz="1"/>
              <w:bottom w:val="single" w:color="CCCCCC" w:sz="1"/>
              <w:right w:val="single" w:color="CCCCCC" w:sz="1"/>
            </w:tcBorders>
            <w:shd w:fill="F5F9FC"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18</w:t>
            </w:r>
          </w:p>
        </w:tc>
        <w:tc>
          <w:tcPr>
            <w:tcW w:type="dxa" w:w="2360"/>
            <w:gridSpan w:val="1"/>
            <w:tcBorders>
              <w:top w:val="single" w:color="CCCCCC" w:sz="1"/>
              <w:left w:val="single" w:color="CCCCCC" w:sz="1"/>
              <w:bottom w:val="single" w:color="CCCCCC" w:sz="1"/>
              <w:right w:val="single" w:color="CCCCCC" w:sz="1"/>
            </w:tcBorders>
            <w:shd w:fill="F5F9FC"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18</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Età massima</w:t>
            </w:r>
          </w:p>
        </w:tc>
        <w:tc>
          <w:tcPr>
            <w:tcW w:type="dxa" w:w="2100"/>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90</w:t>
            </w:r>
          </w:p>
        </w:tc>
        <w:tc>
          <w:tcPr>
            <w:tcW w:type="dxa" w:w="2100"/>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90</w:t>
            </w:r>
          </w:p>
        </w:tc>
        <w:tc>
          <w:tcPr>
            <w:tcW w:type="dxa" w:w="2360"/>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90</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0AD47" w:sz="1"/>
              <w:left w:val="single" w:color="70AD47" w:sz="12"/>
              <w:bottom w:val="single" w:color="70AD47" w:sz="1"/>
              <w:right w:val="single" w:color="70AD47" w:sz="1"/>
            </w:tcBorders>
            <w:shd w:fill="E2EFDA" w:val="clear"/>
            <w:tcMar>
              <w:top w:type="dxa" w:w="100"/>
              <w:left w:type="dxa" w:w="180"/>
              <w:bottom w:type="dxa" w:w="100"/>
              <w:right w:type="dxa" w:w="180"/>
            </w:tcMar>
          </w:tcPr>
          <w:p>
            <w:pPr>
              <w:spacing w:after="60" w:before="0"/>
            </w:pPr>
            <w:r>
              <w:rPr>
                <w:rFonts w:ascii="Arial" w:cs="Arial" w:eastAsia="Arial" w:hAnsi="Arial"/>
                <w:b/>
                <w:bCs/>
                <w:sz w:val="22"/>
                <w:szCs w:val="22"/>
              </w:rPr>
              <w:t xml:space="preserve">Test Mann-Whitney U — Risultato</w:t>
            </w:r>
          </w:p>
          <w:p>
            <w:pPr>
              <w:spacing w:after="40" w:before="0"/>
            </w:pPr>
            <w:r>
              <w:rPr>
                <w:rFonts w:ascii="Arial" w:cs="Arial" w:eastAsia="Arial" w:hAnsi="Arial"/>
                <w:sz w:val="20"/>
                <w:szCs w:val="20"/>
              </w:rPr>
              <w:t xml:space="preserve">Il test evidenzia una differenza statisticamente significativa nella distribuzione dell’età tra F e M (p &lt; 0.05).</w:t>
            </w:r>
          </w:p>
          <w:p>
            <w:pPr>
              <w:spacing w:after="40" w:before="0"/>
            </w:pPr>
            <w:r>
              <w:rPr>
                <w:rFonts w:ascii="Arial" w:cs="Arial" w:eastAsia="Arial" w:hAnsi="Arial"/>
                <w:sz w:val="20"/>
                <w:szCs w:val="20"/>
              </w:rPr>
              <w:t xml:space="preserve">La distribuzione è tuttavia sostanzialmente sovrapponibile tra i due sessi: la differenza tra mediane (56 F vs 58 M) è di soli 2 anni, clinicamente irrilevante.</w:t>
            </w:r>
          </w:p>
          <w:p>
            <w:pPr>
              <w:spacing w:after="40" w:before="0"/>
            </w:pPr>
            <w:r>
              <w:rPr>
                <w:rFonts w:ascii="Arial" w:cs="Arial" w:eastAsia="Arial" w:hAnsi="Arial"/>
                <w:sz w:val="20"/>
                <w:szCs w:val="20"/>
              </w:rPr>
              <w:t xml:space="preserve">Il violin plot con strip sovrapposto (Figura 5.1) mostra che entrambe le distribuzioni sono unimodali e relativamente simmetriche nel range 40–80 anni, con le code estreme (18–30 e 80–90) ben bilanciate tra i sessi.</w:t>
            </w:r>
          </w:p>
        </w:tc>
      </w:tr>
    </w:tbl>
    <w:p>
      <w:pPr>
        <w:spacing w:after="0" w:before="0"/>
      </w:pPr>
      <w:r>
        <w:t xml:space="preserve"/>
      </w:r>
    </w:p>
    <w:p>
      <w:pPr>
        <w:spacing w:after="120" w:before="0"/>
        <w:jc w:val="left"/>
      </w:pPr>
      <w:r>
        <w:rPr>
          <w:rFonts w:ascii="Arial" w:cs="Arial" w:eastAsia="Arial" w:hAnsi="Arial"/>
          <w:b w:val="false"/>
          <w:bCs w:val="false"/>
          <w:color w:val="000000"/>
          <w:sz w:val="24"/>
          <w:szCs w:val="24"/>
        </w:rPr>
        <w:t xml:space="preserve">La figura 5.2 — KDE sovrapposto per sesso — conferma l’elevata sovrapposizione delle curve di densità, con picco condiviso intorno ai 55–60 anni. La figura 5.3 — istogramma per fascia decennale — evidenzia la concentrazione del campione nelle fasce 50–59 e 60–69 anni per entrambi i sessi.</w:t>
      </w:r>
    </w:p>
    <w:p>
      <w:pPr>
        <w:spacing w:after="0" w:before="0"/>
      </w:pPr>
      <w:r>
        <w:t xml:space="preserve"/>
      </w:r>
    </w:p>
    <w:p>
      <w:pPr>
        <w:pStyle w:val="Heading1"/>
        <w:spacing w:after="180" w:before="360"/>
      </w:pPr>
      <w:r>
        <w:rPr>
          <w:rFonts w:ascii="Arial" w:cs="Arial" w:eastAsia="Arial" w:hAnsi="Arial"/>
          <w:b/>
          <w:bCs/>
          <w:color w:val="1F4E79"/>
          <w:sz w:val="32"/>
          <w:szCs w:val="32"/>
        </w:rPr>
        <w:t xml:space="preserve">6. Analisi dei Biomarcatori e Gestione degli Outlier</w:t>
      </w:r>
    </w:p>
    <w:p>
      <w:pPr>
        <w:spacing w:after="120" w:before="0"/>
        <w:jc w:val="left"/>
      </w:pPr>
      <w:r>
        <w:rPr>
          <w:rFonts w:ascii="Arial" w:cs="Arial" w:eastAsia="Arial" w:hAnsi="Arial"/>
          <w:b w:val="false"/>
          <w:bCs w:val="false"/>
          <w:color w:val="000000"/>
          <w:sz w:val="24"/>
          <w:szCs w:val="24"/>
        </w:rPr>
        <w:t xml:space="preserve">Gli outlier sono classificati in base alla loro deviazione rispetto al range di riferimento clinico. Le fasce di severità sono definite come multipli del limite superiore (ULN) o inferiore (LLN).</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2E75B6" w:sz="1"/>
              <w:left w:val="single" w:color="2E75B6" w:sz="1"/>
              <w:bottom w:val="single" w:color="2E75B6" w:sz="1"/>
              <w:right w:val="single" w:color="2E75B6" w:sz="1"/>
            </w:tcBorders>
            <w:shd w:fill="BDD7EE" w:val="clear"/>
            <w:tcMar>
              <w:top w:type="dxa" w:w="80"/>
              <w:left w:type="dxa" w:w="100"/>
              <w:bottom w:type="dxa" w:w="80"/>
              <w:right w:type="dxa" w:w="100"/>
            </w:tcMar>
            <w:vAlign w:val="center"/>
          </w:tcPr>
          <w:p>
            <w:r>
              <w:rPr>
                <w:rFonts w:ascii="Arial" w:cs="Arial" w:eastAsia="Arial" w:hAnsi="Arial"/>
                <w:b/>
                <w:bCs/>
                <w:color w:val="1F4E79"/>
                <w:sz w:val="20"/>
                <w:szCs w:val="20"/>
              </w:rPr>
              <w:t xml:space="preserve">Categoria</w:t>
            </w:r>
          </w:p>
        </w:tc>
        <w:tc>
          <w:tcPr>
            <w:tcW w:type="dxa" w:w="6560"/>
            <w:tcBorders>
              <w:top w:val="single" w:color="2E75B6" w:sz="1"/>
              <w:left w:val="single" w:color="2E75B6" w:sz="1"/>
              <w:bottom w:val="single" w:color="2E75B6" w:sz="1"/>
              <w:right w:val="single" w:color="2E75B6" w:sz="1"/>
            </w:tcBorders>
            <w:shd w:fill="BDD7EE" w:val="clear"/>
            <w:tcMar>
              <w:top w:type="dxa" w:w="80"/>
              <w:left w:type="dxa" w:w="100"/>
              <w:bottom w:type="dxa" w:w="80"/>
              <w:right w:type="dxa" w:w="100"/>
            </w:tcMar>
            <w:vAlign w:val="center"/>
          </w:tcPr>
          <w:p>
            <w:r>
              <w:rPr>
                <w:rFonts w:ascii="Arial" w:cs="Arial" w:eastAsia="Arial" w:hAnsi="Arial"/>
                <w:b/>
                <w:bCs/>
                <w:color w:val="1F4E79"/>
                <w:sz w:val="20"/>
                <w:szCs w:val="20"/>
              </w:rPr>
              <w:t xml:space="preserve">Definizione operativa</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Fuori range (1×)</w:t>
            </w:r>
          </w:p>
        </w:tc>
        <w:tc>
          <w:tcPr>
            <w:tcW w:type="dxa" w:w="6560"/>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Valore al di fuori del range clinico normale</w:t>
            </w:r>
          </w:p>
        </w:tc>
      </w:tr>
      <w:tr>
        <w:tc>
          <w:tcPr>
            <w:tcW w:type="dxa" w:w="2800"/>
            <w:gridSpan w:val="1"/>
            <w:tcBorders>
              <w:top w:val="single" w:color="CCCCCC" w:sz="1"/>
              <w:left w:val="single" w:color="CCCCCC" w:sz="1"/>
              <w:bottom w:val="single" w:color="CCCCCC" w:sz="1"/>
              <w:right w:val="single" w:color="CCCCCC" w:sz="1"/>
            </w:tcBorders>
            <w:shd w:fill="F5F9FC"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Outlier Doppio (2×)</w:t>
            </w:r>
          </w:p>
        </w:tc>
        <w:tc>
          <w:tcPr>
            <w:tcW w:type="dxa" w:w="6560"/>
            <w:gridSpan w:val="1"/>
            <w:tcBorders>
              <w:top w:val="single" w:color="CCCCCC" w:sz="1"/>
              <w:left w:val="single" w:color="CCCCCC" w:sz="1"/>
              <w:bottom w:val="single" w:color="CCCCCC" w:sz="1"/>
              <w:right w:val="single" w:color="CCCCCC" w:sz="1"/>
            </w:tcBorders>
            <w:shd w:fill="F5F9FC"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Valore &gt; 2× ULN o &lt; 1/2 LLN</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Outlier Triplo (3×)</w:t>
            </w:r>
          </w:p>
        </w:tc>
        <w:tc>
          <w:tcPr>
            <w:tcW w:type="dxa" w:w="6560"/>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Valore &gt; 3× ULN</w:t>
            </w:r>
          </w:p>
        </w:tc>
      </w:tr>
      <w:tr>
        <w:tc>
          <w:tcPr>
            <w:tcW w:type="dxa" w:w="2800"/>
            <w:gridSpan w:val="1"/>
            <w:tcBorders>
              <w:top w:val="single" w:color="CCCCCC" w:sz="1"/>
              <w:left w:val="single" w:color="CCCCCC" w:sz="1"/>
              <w:bottom w:val="single" w:color="CCCCCC" w:sz="1"/>
              <w:right w:val="single" w:color="CCCCCC" w:sz="1"/>
            </w:tcBorders>
            <w:shd w:fill="F5F9FC"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Outlier Quadruplo (4×)</w:t>
            </w:r>
          </w:p>
        </w:tc>
        <w:tc>
          <w:tcPr>
            <w:tcW w:type="dxa" w:w="6560"/>
            <w:gridSpan w:val="1"/>
            <w:tcBorders>
              <w:top w:val="single" w:color="CCCCCC" w:sz="1"/>
              <w:left w:val="single" w:color="CCCCCC" w:sz="1"/>
              <w:bottom w:val="single" w:color="CCCCCC" w:sz="1"/>
              <w:right w:val="single" w:color="CCCCCC" w:sz="1"/>
            </w:tcBorders>
            <w:shd w:fill="F5F9FC"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Valore &gt; 4× ULN — probabile errore di misurazione</w:t>
            </w:r>
          </w:p>
        </w:tc>
      </w:tr>
    </w:tbl>
    <w:p>
      <w:pPr>
        <w:spacing w:after="0" w:before="0"/>
      </w:pPr>
      <w:r>
        <w:t xml:space="preserve"/>
      </w:r>
    </w:p>
    <w:p>
      <w:pPr>
        <w:pStyle w:val="Heading2"/>
        <w:spacing w:after="120" w:before="240"/>
      </w:pPr>
      <w:r>
        <w:rPr>
          <w:rFonts w:ascii="Arial" w:cs="Arial" w:eastAsia="Arial" w:hAnsi="Arial"/>
          <w:b/>
          <w:bCs/>
          <w:color w:val="2E75B6"/>
          <w:sz w:val="26"/>
          <w:szCs w:val="26"/>
        </w:rPr>
        <w:t xml:space="preserve">6.1 Parametri Glicemici — Glucosio</w:t>
      </w:r>
    </w:p>
    <w:p>
      <w:pPr>
        <w:spacing w:after="120" w:before="0"/>
        <w:jc w:val="left"/>
      </w:pPr>
      <w:r>
        <w:rPr>
          <w:rFonts w:ascii="Arial" w:cs="Arial" w:eastAsia="Arial" w:hAnsi="Arial"/>
          <w:b w:val="false"/>
          <w:bCs w:val="false"/>
          <w:color w:val="000000"/>
          <w:sz w:val="24"/>
          <w:szCs w:val="24"/>
        </w:rPr>
        <w:t xml:space="preserve">Il glucosio presenta una mediana di 96 mg/dL, nella zona normale alta. Il 36.3% dei pazienti supera la soglia borderline (100 mg/dL) e il 6.1% si colloca nel range alterato (&gt;125 mg/dL), compatibile con diabete non controllato o esami non eseguiti a digiuno.</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2E75B6" w:sz="1"/>
              <w:left w:val="single" w:color="2E75B6" w:sz="1"/>
              <w:bottom w:val="single" w:color="2E75B6" w:sz="1"/>
              <w:right w:val="single" w:color="2E75B6" w:sz="1"/>
            </w:tcBorders>
            <w:shd w:fill="BDD7EE" w:val="clear"/>
            <w:tcMar>
              <w:top w:type="dxa" w:w="80"/>
              <w:left w:type="dxa" w:w="100"/>
              <w:bottom w:type="dxa" w:w="80"/>
              <w:right w:type="dxa" w:w="100"/>
            </w:tcMar>
            <w:vAlign w:val="center"/>
          </w:tcPr>
          <w:p>
            <w:r>
              <w:rPr>
                <w:rFonts w:ascii="Arial" w:cs="Arial" w:eastAsia="Arial" w:hAnsi="Arial"/>
                <w:b/>
                <w:bCs/>
                <w:color w:val="1F4E79"/>
                <w:sz w:val="20"/>
                <w:szCs w:val="20"/>
              </w:rPr>
              <w:t xml:space="preserve">Statistica</w:t>
            </w:r>
          </w:p>
        </w:tc>
        <w:tc>
          <w:tcPr>
            <w:tcW w:type="dxa" w:w="5160"/>
            <w:tcBorders>
              <w:top w:val="single" w:color="2E75B6" w:sz="1"/>
              <w:left w:val="single" w:color="2E75B6" w:sz="1"/>
              <w:bottom w:val="single" w:color="2E75B6" w:sz="1"/>
              <w:right w:val="single" w:color="2E75B6" w:sz="1"/>
            </w:tcBorders>
            <w:shd w:fill="BDD7EE" w:val="clear"/>
            <w:tcMar>
              <w:top w:type="dxa" w:w="80"/>
              <w:left w:type="dxa" w:w="100"/>
              <w:bottom w:type="dxa" w:w="80"/>
              <w:right w:type="dxa" w:w="100"/>
            </w:tcMar>
            <w:vAlign w:val="center"/>
          </w:tcPr>
          <w:p>
            <w:r>
              <w:rPr>
                <w:rFonts w:ascii="Arial" w:cs="Arial" w:eastAsia="Arial" w:hAnsi="Arial"/>
                <w:b/>
                <w:bCs/>
                <w:color w:val="1F4E79"/>
                <w:sz w:val="20"/>
                <w:szCs w:val="20"/>
              </w:rPr>
              <w:t xml:space="preserve">Valore</w:t>
            </w:r>
          </w:p>
        </w:tc>
      </w:tr>
      <w:tr>
        <w:tc>
          <w:tcPr>
            <w:tcW w:type="dxa" w:w="4200"/>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Min / Max</w:t>
            </w:r>
          </w:p>
        </w:tc>
        <w:tc>
          <w:tcPr>
            <w:tcW w:type="dxa" w:w="5160"/>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44.0 / 445.0 mg/dL</w:t>
            </w:r>
          </w:p>
        </w:tc>
      </w:tr>
      <w:tr>
        <w:tc>
          <w:tcPr>
            <w:tcW w:type="dxa" w:w="4200"/>
            <w:gridSpan w:val="1"/>
            <w:tcBorders>
              <w:top w:val="single" w:color="CCCCCC" w:sz="1"/>
              <w:left w:val="single" w:color="CCCCCC" w:sz="1"/>
              <w:bottom w:val="single" w:color="CCCCCC" w:sz="1"/>
              <w:right w:val="single" w:color="CCCCCC" w:sz="1"/>
            </w:tcBorders>
            <w:shd w:fill="F5F9FC"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Mediana [Q1–Q3]</w:t>
            </w:r>
          </w:p>
        </w:tc>
        <w:tc>
          <w:tcPr>
            <w:tcW w:type="dxa" w:w="5160"/>
            <w:gridSpan w:val="1"/>
            <w:tcBorders>
              <w:top w:val="single" w:color="CCCCCC" w:sz="1"/>
              <w:left w:val="single" w:color="CCCCCC" w:sz="1"/>
              <w:bottom w:val="single" w:color="CCCCCC" w:sz="1"/>
              <w:right w:val="single" w:color="CCCCCC" w:sz="1"/>
            </w:tcBorders>
            <w:shd w:fill="F5F9FC"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96 [89–104] mg/dL</w:t>
            </w:r>
          </w:p>
        </w:tc>
      </w:tr>
      <w:tr>
        <w:tc>
          <w:tcPr>
            <w:tcW w:type="dxa" w:w="4200"/>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Pazienti con Glucosio ≥ 100 (borderline)</w:t>
            </w:r>
          </w:p>
        </w:tc>
        <w:tc>
          <w:tcPr>
            <w:tcW w:type="dxa" w:w="5160"/>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4.320 — 36.3%</w:t>
            </w:r>
          </w:p>
        </w:tc>
      </w:tr>
      <w:tr>
        <w:tc>
          <w:tcPr>
            <w:tcW w:type="dxa" w:w="4200"/>
            <w:gridSpan w:val="1"/>
            <w:tcBorders>
              <w:top w:val="single" w:color="CCCCCC" w:sz="1"/>
              <w:left w:val="single" w:color="CCCCCC" w:sz="1"/>
              <w:bottom w:val="single" w:color="CCCCCC" w:sz="1"/>
              <w:right w:val="single" w:color="CCCCCC" w:sz="1"/>
            </w:tcBorders>
            <w:shd w:fill="F5F9FC"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Pazienti con Glucosio &gt; 125 (alterato)</w:t>
            </w:r>
          </w:p>
        </w:tc>
        <w:tc>
          <w:tcPr>
            <w:tcW w:type="dxa" w:w="5160"/>
            <w:gridSpan w:val="1"/>
            <w:tcBorders>
              <w:top w:val="single" w:color="CCCCCC" w:sz="1"/>
              <w:left w:val="single" w:color="CCCCCC" w:sz="1"/>
              <w:bottom w:val="single" w:color="CCCCCC" w:sz="1"/>
              <w:right w:val="single" w:color="CCCCCC" w:sz="1"/>
            </w:tcBorders>
            <w:shd w:fill="F5F9FC"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727 — 6.1%</w:t>
            </w:r>
          </w:p>
        </w:tc>
      </w:tr>
      <w:tr>
        <w:tc>
          <w:tcPr>
            <w:tcW w:type="dxa" w:w="4200"/>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Outlier 2× (&gt;198 mg/dL)</w:t>
            </w:r>
          </w:p>
        </w:tc>
        <w:tc>
          <w:tcPr>
            <w:tcW w:type="dxa" w:w="5160"/>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82</w:t>
            </w:r>
          </w:p>
        </w:tc>
      </w:tr>
      <w:tr>
        <w:tc>
          <w:tcPr>
            <w:tcW w:type="dxa" w:w="4200"/>
            <w:gridSpan w:val="1"/>
            <w:tcBorders>
              <w:top w:val="single" w:color="CCCCCC" w:sz="1"/>
              <w:left w:val="single" w:color="CCCCCC" w:sz="1"/>
              <w:bottom w:val="single" w:color="CCCCCC" w:sz="1"/>
              <w:right w:val="single" w:color="CCCCCC" w:sz="1"/>
            </w:tcBorders>
            <w:shd w:fill="F5F9FC"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Outlier 4× (&gt;396 mg/dL)</w:t>
            </w:r>
          </w:p>
        </w:tc>
        <w:tc>
          <w:tcPr>
            <w:tcW w:type="dxa" w:w="5160"/>
            <w:gridSpan w:val="1"/>
            <w:tcBorders>
              <w:top w:val="single" w:color="CCCCCC" w:sz="1"/>
              <w:left w:val="single" w:color="CCCCCC" w:sz="1"/>
              <w:bottom w:val="single" w:color="CCCCCC" w:sz="1"/>
              <w:right w:val="single" w:color="CCCCCC" w:sz="1"/>
            </w:tcBorders>
            <w:shd w:fill="F5F9FC"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3</w:t>
            </w:r>
          </w:p>
        </w:tc>
      </w:tr>
    </w:tbl>
    <w:p>
      <w:pPr>
        <w:spacing w:after="0" w:before="0"/>
      </w:pPr>
      <w:r>
        <w:t xml:space="preserve"/>
      </w:r>
    </w:p>
    <w:p>
      <w:pPr>
        <w:pStyle w:val="Heading2"/>
        <w:spacing w:after="120" w:before="240"/>
      </w:pPr>
      <w:r>
        <w:rPr>
          <w:rFonts w:ascii="Arial" w:cs="Arial" w:eastAsia="Arial" w:hAnsi="Arial"/>
          <w:b/>
          <w:bCs/>
          <w:color w:val="2E75B6"/>
          <w:sz w:val="26"/>
          <w:szCs w:val="26"/>
        </w:rPr>
        <w:t xml:space="preserve">6.2 Parametri Lipidici — LDL, Colesterolo Totale, Trigliceridi, HDL</w:t>
      </w:r>
    </w:p>
    <w:p>
      <w:pPr>
        <w:spacing w:after="120" w:before="0"/>
        <w:jc w:val="left"/>
      </w:pPr>
      <w:r>
        <w:rPr>
          <w:rFonts w:ascii="Arial" w:cs="Arial" w:eastAsia="Arial" w:hAnsi="Arial"/>
          <w:b w:val="false"/>
          <w:bCs w:val="false"/>
          <w:color w:val="000000"/>
          <w:sz w:val="24"/>
          <w:szCs w:val="24"/>
        </w:rPr>
        <w:t xml:space="preserve">Il colesterolo LDL presenta una mediana esattamente alla soglia normale (115 mg/dL), con il 50.6% dei pazienti al di sopra. Il colesterolo totale ha mediana 189 mg/dL, con il 49.2% sopra la soglia di 190 mg/dL. I trigliceridi mostrano una distribuzione fortemente asimmetrica verso destra.</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900"/>
        <w:gridCol w:w="900"/>
        <w:gridCol w:w="2200"/>
        <w:gridCol w:w="1860"/>
        <w:gridCol w:w="1400"/>
      </w:tblGrid>
      <w:tr>
        <w:tc>
          <w:tcPr>
            <w:tcW w:type="dxa" w:w="2100"/>
            <w:tcBorders>
              <w:top w:val="single" w:color="2E75B6" w:sz="1"/>
              <w:left w:val="single" w:color="2E75B6" w:sz="1"/>
              <w:bottom w:val="single" w:color="2E75B6" w:sz="1"/>
              <w:right w:val="single" w:color="2E75B6" w:sz="1"/>
            </w:tcBorders>
            <w:shd w:fill="BDD7EE" w:val="clear"/>
            <w:tcMar>
              <w:top w:type="dxa" w:w="80"/>
              <w:left w:type="dxa" w:w="100"/>
              <w:bottom w:type="dxa" w:w="80"/>
              <w:right w:type="dxa" w:w="100"/>
            </w:tcMar>
            <w:vAlign w:val="center"/>
          </w:tcPr>
          <w:p>
            <w:r>
              <w:rPr>
                <w:rFonts w:ascii="Arial" w:cs="Arial" w:eastAsia="Arial" w:hAnsi="Arial"/>
                <w:b/>
                <w:bCs/>
                <w:color w:val="1F4E79"/>
                <w:sz w:val="20"/>
                <w:szCs w:val="20"/>
              </w:rPr>
              <w:t xml:space="preserve">Marker</w:t>
            </w:r>
          </w:p>
        </w:tc>
        <w:tc>
          <w:tcPr>
            <w:tcW w:type="dxa" w:w="900"/>
            <w:tcBorders>
              <w:top w:val="single" w:color="2E75B6" w:sz="1"/>
              <w:left w:val="single" w:color="2E75B6" w:sz="1"/>
              <w:bottom w:val="single" w:color="2E75B6" w:sz="1"/>
              <w:right w:val="single" w:color="2E75B6" w:sz="1"/>
            </w:tcBorders>
            <w:shd w:fill="BDD7EE" w:val="clear"/>
            <w:tcMar>
              <w:top w:type="dxa" w:w="80"/>
              <w:left w:type="dxa" w:w="100"/>
              <w:bottom w:type="dxa" w:w="80"/>
              <w:right w:type="dxa" w:w="100"/>
            </w:tcMar>
            <w:vAlign w:val="center"/>
          </w:tcPr>
          <w:p>
            <w:r>
              <w:rPr>
                <w:rFonts w:ascii="Arial" w:cs="Arial" w:eastAsia="Arial" w:hAnsi="Arial"/>
                <w:b/>
                <w:bCs/>
                <w:color w:val="1F4E79"/>
                <w:sz w:val="20"/>
                <w:szCs w:val="20"/>
              </w:rPr>
              <w:t xml:space="preserve">Min</w:t>
            </w:r>
          </w:p>
        </w:tc>
        <w:tc>
          <w:tcPr>
            <w:tcW w:type="dxa" w:w="900"/>
            <w:tcBorders>
              <w:top w:val="single" w:color="2E75B6" w:sz="1"/>
              <w:left w:val="single" w:color="2E75B6" w:sz="1"/>
              <w:bottom w:val="single" w:color="2E75B6" w:sz="1"/>
              <w:right w:val="single" w:color="2E75B6" w:sz="1"/>
            </w:tcBorders>
            <w:shd w:fill="BDD7EE" w:val="clear"/>
            <w:tcMar>
              <w:top w:type="dxa" w:w="80"/>
              <w:left w:type="dxa" w:w="100"/>
              <w:bottom w:type="dxa" w:w="80"/>
              <w:right w:type="dxa" w:w="100"/>
            </w:tcMar>
            <w:vAlign w:val="center"/>
          </w:tcPr>
          <w:p>
            <w:r>
              <w:rPr>
                <w:rFonts w:ascii="Arial" w:cs="Arial" w:eastAsia="Arial" w:hAnsi="Arial"/>
                <w:b/>
                <w:bCs/>
                <w:color w:val="1F4E79"/>
                <w:sz w:val="20"/>
                <w:szCs w:val="20"/>
              </w:rPr>
              <w:t xml:space="preserve">Max</w:t>
            </w:r>
          </w:p>
        </w:tc>
        <w:tc>
          <w:tcPr>
            <w:tcW w:type="dxa" w:w="2200"/>
            <w:tcBorders>
              <w:top w:val="single" w:color="2E75B6" w:sz="1"/>
              <w:left w:val="single" w:color="2E75B6" w:sz="1"/>
              <w:bottom w:val="single" w:color="2E75B6" w:sz="1"/>
              <w:right w:val="single" w:color="2E75B6" w:sz="1"/>
            </w:tcBorders>
            <w:shd w:fill="BDD7EE" w:val="clear"/>
            <w:tcMar>
              <w:top w:type="dxa" w:w="80"/>
              <w:left w:type="dxa" w:w="100"/>
              <w:bottom w:type="dxa" w:w="80"/>
              <w:right w:type="dxa" w:w="100"/>
            </w:tcMar>
            <w:vAlign w:val="center"/>
          </w:tcPr>
          <w:p>
            <w:r>
              <w:rPr>
                <w:rFonts w:ascii="Arial" w:cs="Arial" w:eastAsia="Arial" w:hAnsi="Arial"/>
                <w:b/>
                <w:bCs/>
                <w:color w:val="1F4E79"/>
                <w:sz w:val="20"/>
                <w:szCs w:val="20"/>
              </w:rPr>
              <w:t xml:space="preserve">Mediana [Q1–Q3]</w:t>
            </w:r>
          </w:p>
        </w:tc>
        <w:tc>
          <w:tcPr>
            <w:tcW w:type="dxa" w:w="1860"/>
            <w:tcBorders>
              <w:top w:val="single" w:color="2E75B6" w:sz="1"/>
              <w:left w:val="single" w:color="2E75B6" w:sz="1"/>
              <w:bottom w:val="single" w:color="2E75B6" w:sz="1"/>
              <w:right w:val="single" w:color="2E75B6" w:sz="1"/>
            </w:tcBorders>
            <w:shd w:fill="BDD7EE" w:val="clear"/>
            <w:tcMar>
              <w:top w:type="dxa" w:w="80"/>
              <w:left w:type="dxa" w:w="100"/>
              <w:bottom w:type="dxa" w:w="80"/>
              <w:right w:type="dxa" w:w="100"/>
            </w:tcMar>
            <w:vAlign w:val="center"/>
          </w:tcPr>
          <w:p>
            <w:r>
              <w:rPr>
                <w:rFonts w:ascii="Arial" w:cs="Arial" w:eastAsia="Arial" w:hAnsi="Arial"/>
                <w:b/>
                <w:bCs/>
                <w:color w:val="1F4E79"/>
                <w:sz w:val="20"/>
                <w:szCs w:val="20"/>
              </w:rPr>
              <w:t xml:space="preserve">↑ Fuori range</w:t>
            </w:r>
          </w:p>
        </w:tc>
        <w:tc>
          <w:tcPr>
            <w:tcW w:type="dxa" w:w="1400"/>
            <w:tcBorders>
              <w:top w:val="single" w:color="2E75B6" w:sz="1"/>
              <w:left w:val="single" w:color="2E75B6" w:sz="1"/>
              <w:bottom w:val="single" w:color="2E75B6" w:sz="1"/>
              <w:right w:val="single" w:color="2E75B6" w:sz="1"/>
            </w:tcBorders>
            <w:shd w:fill="BDD7EE" w:val="clear"/>
            <w:tcMar>
              <w:top w:type="dxa" w:w="80"/>
              <w:left w:type="dxa" w:w="100"/>
              <w:bottom w:type="dxa" w:w="80"/>
              <w:right w:type="dxa" w:w="100"/>
            </w:tcMar>
            <w:vAlign w:val="center"/>
          </w:tcPr>
          <w:p>
            <w:r>
              <w:rPr>
                <w:rFonts w:ascii="Arial" w:cs="Arial" w:eastAsia="Arial" w:hAnsi="Arial"/>
                <w:b/>
                <w:bCs/>
                <w:color w:val="1F4E79"/>
                <w:sz w:val="20"/>
                <w:szCs w:val="20"/>
              </w:rPr>
              <w:t xml:space="preserve">2× ULN</w:t>
            </w:r>
          </w:p>
        </w:tc>
      </w:tr>
      <w:tr>
        <w:tc>
          <w:tcPr>
            <w:tcW w:type="dxa" w:w="2100"/>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Colesterolo LDL</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12.0</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290.0</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115 [91–141]</w:t>
            </w:r>
          </w:p>
        </w:tc>
        <w:tc>
          <w:tcPr>
            <w:tcW w:type="dxa" w:w="1860"/>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5.885 (50.6%)</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48</w:t>
            </w:r>
          </w:p>
        </w:tc>
      </w:tr>
      <w:tr>
        <w:tc>
          <w:tcPr>
            <w:tcW w:type="dxa" w:w="2100"/>
            <w:gridSpan w:val="1"/>
            <w:tcBorders>
              <w:top w:val="single" w:color="CCCCCC" w:sz="1"/>
              <w:left w:val="single" w:color="CCCCCC" w:sz="1"/>
              <w:bottom w:val="single" w:color="CCCCCC" w:sz="1"/>
              <w:right w:val="single" w:color="CCCCCC" w:sz="1"/>
            </w:tcBorders>
            <w:shd w:fill="F5F9FC"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Colesterolo Totale</w:t>
            </w:r>
          </w:p>
        </w:tc>
        <w:tc>
          <w:tcPr>
            <w:tcW w:type="dxa" w:w="900"/>
            <w:gridSpan w:val="1"/>
            <w:tcBorders>
              <w:top w:val="single" w:color="CCCCCC" w:sz="1"/>
              <w:left w:val="single" w:color="CCCCCC" w:sz="1"/>
              <w:bottom w:val="single" w:color="CCCCCC" w:sz="1"/>
              <w:right w:val="single" w:color="CCCCCC" w:sz="1"/>
            </w:tcBorders>
            <w:shd w:fill="F5F9FC"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62.0</w:t>
            </w:r>
          </w:p>
        </w:tc>
        <w:tc>
          <w:tcPr>
            <w:tcW w:type="dxa" w:w="900"/>
            <w:gridSpan w:val="1"/>
            <w:tcBorders>
              <w:top w:val="single" w:color="CCCCCC" w:sz="1"/>
              <w:left w:val="single" w:color="CCCCCC" w:sz="1"/>
              <w:bottom w:val="single" w:color="CCCCCC" w:sz="1"/>
              <w:right w:val="single" w:color="CCCCCC" w:sz="1"/>
            </w:tcBorders>
            <w:shd w:fill="F5F9FC"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363.0</w:t>
            </w:r>
          </w:p>
        </w:tc>
        <w:tc>
          <w:tcPr>
            <w:tcW w:type="dxa" w:w="2200"/>
            <w:gridSpan w:val="1"/>
            <w:tcBorders>
              <w:top w:val="single" w:color="CCCCCC" w:sz="1"/>
              <w:left w:val="single" w:color="CCCCCC" w:sz="1"/>
              <w:bottom w:val="single" w:color="CCCCCC" w:sz="1"/>
              <w:right w:val="single" w:color="CCCCCC" w:sz="1"/>
            </w:tcBorders>
            <w:shd w:fill="F5F9FC"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189 [162–215]</w:t>
            </w:r>
          </w:p>
        </w:tc>
        <w:tc>
          <w:tcPr>
            <w:tcW w:type="dxa" w:w="1860"/>
            <w:gridSpan w:val="1"/>
            <w:tcBorders>
              <w:top w:val="single" w:color="CCCCCC" w:sz="1"/>
              <w:left w:val="single" w:color="CCCCCC" w:sz="1"/>
              <w:bottom w:val="single" w:color="CCCCCC" w:sz="1"/>
              <w:right w:val="single" w:color="CCCCCC" w:sz="1"/>
            </w:tcBorders>
            <w:shd w:fill="F5F9FC"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5.732 (49.2%)</w:t>
            </w:r>
          </w:p>
        </w:tc>
        <w:tc>
          <w:tcPr>
            <w:tcW w:type="dxa" w:w="1400"/>
            <w:gridSpan w:val="1"/>
            <w:tcBorders>
              <w:top w:val="single" w:color="CCCCCC" w:sz="1"/>
              <w:left w:val="single" w:color="CCCCCC" w:sz="1"/>
              <w:bottom w:val="single" w:color="CCCCCC" w:sz="1"/>
              <w:right w:val="single" w:color="CCCCCC" w:sz="1"/>
            </w:tcBorders>
            <w:shd w:fill="F5F9FC"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0</w:t>
            </w:r>
          </w:p>
        </w:tc>
      </w:tr>
      <w:tr>
        <w:tc>
          <w:tcPr>
            <w:tcW w:type="dxa" w:w="2100"/>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Trigliceridi</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22.0</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1.725.0</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92 [70–124]</w:t>
            </w:r>
          </w:p>
        </w:tc>
        <w:tc>
          <w:tcPr>
            <w:tcW w:type="dxa" w:w="1860"/>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1.726 (14.7%)</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156</w:t>
            </w:r>
          </w:p>
        </w:tc>
      </w:tr>
      <w:tr>
        <w:tc>
          <w:tcPr>
            <w:tcW w:type="dxa" w:w="2100"/>
            <w:gridSpan w:val="1"/>
            <w:tcBorders>
              <w:top w:val="single" w:color="CCCCCC" w:sz="1"/>
              <w:left w:val="single" w:color="CCCCCC" w:sz="1"/>
              <w:bottom w:val="single" w:color="CCCCCC" w:sz="1"/>
              <w:right w:val="single" w:color="CCCCCC" w:sz="1"/>
            </w:tcBorders>
            <w:shd w:fill="F5F9FC"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Colesterolo HDL</w:t>
            </w:r>
          </w:p>
        </w:tc>
        <w:tc>
          <w:tcPr>
            <w:tcW w:type="dxa" w:w="900"/>
            <w:gridSpan w:val="1"/>
            <w:tcBorders>
              <w:top w:val="single" w:color="CCCCCC" w:sz="1"/>
              <w:left w:val="single" w:color="CCCCCC" w:sz="1"/>
              <w:bottom w:val="single" w:color="CCCCCC" w:sz="1"/>
              <w:right w:val="single" w:color="CCCCCC" w:sz="1"/>
            </w:tcBorders>
            <w:shd w:fill="F5F9FC"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13.0</w:t>
            </w:r>
          </w:p>
        </w:tc>
        <w:tc>
          <w:tcPr>
            <w:tcW w:type="dxa" w:w="900"/>
            <w:gridSpan w:val="1"/>
            <w:tcBorders>
              <w:top w:val="single" w:color="CCCCCC" w:sz="1"/>
              <w:left w:val="single" w:color="CCCCCC" w:sz="1"/>
              <w:bottom w:val="single" w:color="CCCCCC" w:sz="1"/>
              <w:right w:val="single" w:color="CCCCCC" w:sz="1"/>
            </w:tcBorders>
            <w:shd w:fill="F5F9FC"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148.0</w:t>
            </w:r>
          </w:p>
        </w:tc>
        <w:tc>
          <w:tcPr>
            <w:tcW w:type="dxa" w:w="2200"/>
            <w:gridSpan w:val="1"/>
            <w:tcBorders>
              <w:top w:val="single" w:color="CCCCCC" w:sz="1"/>
              <w:left w:val="single" w:color="CCCCCC" w:sz="1"/>
              <w:bottom w:val="single" w:color="CCCCCC" w:sz="1"/>
              <w:right w:val="single" w:color="CCCCCC" w:sz="1"/>
            </w:tcBorders>
            <w:shd w:fill="F5F9FC"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56 [47–67]</w:t>
            </w:r>
          </w:p>
        </w:tc>
        <w:tc>
          <w:tcPr>
            <w:tcW w:type="dxa" w:w="1860"/>
            <w:gridSpan w:val="1"/>
            <w:tcBorders>
              <w:top w:val="single" w:color="CCCCCC" w:sz="1"/>
              <w:left w:val="single" w:color="CCCCCC" w:sz="1"/>
              <w:bottom w:val="single" w:color="CCCCCC" w:sz="1"/>
              <w:right w:val="single" w:color="CCCCCC" w:sz="1"/>
            </w:tcBorders>
            <w:shd w:fill="F5F9FC"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w:t>
            </w:r>
          </w:p>
        </w:tc>
        <w:tc>
          <w:tcPr>
            <w:tcW w:type="dxa" w:w="1400"/>
            <w:gridSpan w:val="1"/>
            <w:tcBorders>
              <w:top w:val="single" w:color="CCCCCC" w:sz="1"/>
              <w:left w:val="single" w:color="CCCCCC" w:sz="1"/>
              <w:bottom w:val="single" w:color="CCCCCC" w:sz="1"/>
              <w:right w:val="single" w:color="CCCCCC" w:sz="1"/>
            </w:tcBorders>
            <w:shd w:fill="F5F9FC"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8F00" w:sz="1"/>
              <w:left w:val="single" w:color="BF8F00" w:sz="12"/>
              <w:bottom w:val="single" w:color="BF8F00" w:sz="1"/>
              <w:right w:val="single" w:color="BF8F00" w:sz="1"/>
            </w:tcBorders>
            <w:shd w:fill="FFF2CC" w:val="clear"/>
            <w:tcMar>
              <w:top w:type="dxa" w:w="100"/>
              <w:left w:type="dxa" w:w="180"/>
              <w:bottom w:type="dxa" w:w="100"/>
              <w:right w:type="dxa" w:w="180"/>
            </w:tcMar>
          </w:tcPr>
          <w:p>
            <w:pPr>
              <w:spacing w:after="60" w:before="0"/>
            </w:pPr>
            <w:r>
              <w:rPr>
                <w:rFonts w:ascii="Arial" w:cs="Arial" w:eastAsia="Arial" w:hAnsi="Arial"/>
                <w:b/>
                <w:bCs/>
                <w:sz w:val="22"/>
                <w:szCs w:val="22"/>
              </w:rPr>
              <w:t xml:space="preserve">Osservazione clinica — Trigliceridi</w:t>
            </w:r>
          </w:p>
          <w:p>
            <w:pPr>
              <w:spacing w:after="40" w:before="0"/>
            </w:pPr>
            <w:r>
              <w:rPr>
                <w:rFonts w:ascii="Arial" w:cs="Arial" w:eastAsia="Arial" w:hAnsi="Arial"/>
                <w:sz w:val="20"/>
                <w:szCs w:val="20"/>
              </w:rPr>
              <w:t xml:space="preserve">Il valore massimo di 1.725 mg/dL, pur compatibile con ipertrigliceridemia genetica severa, deve essere verificato clinicamente per escludere errori di trascrizione. 20 pazienti superano il quadruplo del limite clinico (600 mg/dL).</w:t>
            </w:r>
          </w:p>
        </w:tc>
      </w:tr>
    </w:tbl>
    <w:p>
      <w:pPr>
        <w:spacing w:after="0" w:before="0"/>
      </w:pPr>
      <w:r>
        <w:t xml:space="preserve"/>
      </w:r>
    </w:p>
    <w:p>
      <w:pPr>
        <w:pStyle w:val="Heading2"/>
        <w:spacing w:after="120" w:before="240"/>
      </w:pPr>
      <w:r>
        <w:rPr>
          <w:rFonts w:ascii="Arial" w:cs="Arial" w:eastAsia="Arial" w:hAnsi="Arial"/>
          <w:b/>
          <w:bCs/>
          <w:color w:val="2E75B6"/>
          <w:sz w:val="26"/>
          <w:szCs w:val="26"/>
        </w:rPr>
        <w:t xml:space="preserve">6.3 Parametri Epatici — AST e ALT</w:t>
      </w:r>
    </w:p>
    <w:p>
      <w:pPr>
        <w:spacing w:after="120" w:before="0"/>
        <w:jc w:val="left"/>
      </w:pPr>
      <w:r>
        <w:rPr>
          <w:rFonts w:ascii="Arial" w:cs="Arial" w:eastAsia="Arial" w:hAnsi="Arial"/>
          <w:b w:val="false"/>
          <w:bCs w:val="false"/>
          <w:color w:val="000000"/>
          <w:sz w:val="24"/>
          <w:szCs w:val="24"/>
        </w:rPr>
        <w:t xml:space="preserve">AST e ALT mostrano distribuzioni con mediane nei range di normalità. Tuttavia sono presenti outlier significativi nella coda superiore, contenuti dopo la rimozione ULN×4 (236 per ALT, 136 per AST).</w:t>
      </w:r>
    </w:p>
    <w:p>
      <w:pPr>
        <w:spacing w:after="0" w:before="0"/>
      </w:pPr>
      <w:r>
        <w:t xml:space="preserve"/>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1800"/>
        <w:gridCol w:w="2100"/>
        <w:gridCol w:w="2100"/>
        <w:gridCol w:w="2200"/>
        <w:gridCol w:w="1800"/>
        <w:gridCol w:w="1360"/>
      </w:tblGrid>
      <w:tr>
        <w:tc>
          <w:tcPr>
            <w:tcW w:type="dxa" w:w="1800"/>
            <w:tcBorders>
              <w:top w:val="single" w:color="2E75B6" w:sz="1"/>
              <w:left w:val="single" w:color="2E75B6" w:sz="1"/>
              <w:bottom w:val="single" w:color="2E75B6" w:sz="1"/>
              <w:right w:val="single" w:color="2E75B6" w:sz="1"/>
            </w:tcBorders>
            <w:shd w:fill="BDD7EE" w:val="clear"/>
            <w:tcMar>
              <w:top w:type="dxa" w:w="80"/>
              <w:left w:type="dxa" w:w="100"/>
              <w:bottom w:type="dxa" w:w="80"/>
              <w:right w:type="dxa" w:w="100"/>
            </w:tcMar>
            <w:vAlign w:val="center"/>
          </w:tcPr>
          <w:p>
            <w:r>
              <w:rPr>
                <w:rFonts w:ascii="Arial" w:cs="Arial" w:eastAsia="Arial" w:hAnsi="Arial"/>
                <w:b/>
                <w:bCs/>
                <w:color w:val="1F4E79"/>
                <w:sz w:val="20"/>
                <w:szCs w:val="20"/>
              </w:rPr>
              <w:t xml:space="preserve">Marker</w:t>
            </w:r>
          </w:p>
        </w:tc>
        <w:tc>
          <w:tcPr>
            <w:tcW w:type="dxa" w:w="2100"/>
            <w:tcBorders>
              <w:top w:val="single" w:color="2E75B6" w:sz="1"/>
              <w:left w:val="single" w:color="2E75B6" w:sz="1"/>
              <w:bottom w:val="single" w:color="2E75B6" w:sz="1"/>
              <w:right w:val="single" w:color="2E75B6" w:sz="1"/>
            </w:tcBorders>
            <w:shd w:fill="BDD7EE" w:val="clear"/>
            <w:tcMar>
              <w:top w:type="dxa" w:w="80"/>
              <w:left w:type="dxa" w:w="100"/>
              <w:bottom w:type="dxa" w:w="80"/>
              <w:right w:type="dxa" w:w="100"/>
            </w:tcMar>
            <w:vAlign w:val="center"/>
          </w:tcPr>
          <w:p>
            <w:r>
              <w:rPr>
                <w:rFonts w:ascii="Arial" w:cs="Arial" w:eastAsia="Arial" w:hAnsi="Arial"/>
                <w:b/>
                <w:bCs/>
                <w:color w:val="1F4E79"/>
                <w:sz w:val="20"/>
                <w:szCs w:val="20"/>
              </w:rPr>
              <w:t xml:space="preserve">Min</w:t>
            </w:r>
          </w:p>
        </w:tc>
        <w:tc>
          <w:tcPr>
            <w:tcW w:type="dxa" w:w="2100"/>
            <w:tcBorders>
              <w:top w:val="single" w:color="2E75B6" w:sz="1"/>
              <w:left w:val="single" w:color="2E75B6" w:sz="1"/>
              <w:bottom w:val="single" w:color="2E75B6" w:sz="1"/>
              <w:right w:val="single" w:color="2E75B6" w:sz="1"/>
            </w:tcBorders>
            <w:shd w:fill="BDD7EE" w:val="clear"/>
            <w:tcMar>
              <w:top w:type="dxa" w:w="80"/>
              <w:left w:type="dxa" w:w="100"/>
              <w:bottom w:type="dxa" w:w="80"/>
              <w:right w:type="dxa" w:w="100"/>
            </w:tcMar>
            <w:vAlign w:val="center"/>
          </w:tcPr>
          <w:p>
            <w:r>
              <w:rPr>
                <w:rFonts w:ascii="Arial" w:cs="Arial" w:eastAsia="Arial" w:hAnsi="Arial"/>
                <w:b/>
                <w:bCs/>
                <w:color w:val="1F4E79"/>
                <w:sz w:val="20"/>
                <w:szCs w:val="20"/>
              </w:rPr>
              <w:t xml:space="preserve">Max (post-cleaning)</w:t>
            </w:r>
          </w:p>
        </w:tc>
        <w:tc>
          <w:tcPr>
            <w:tcW w:type="dxa" w:w="2200"/>
            <w:tcBorders>
              <w:top w:val="single" w:color="2E75B6" w:sz="1"/>
              <w:left w:val="single" w:color="2E75B6" w:sz="1"/>
              <w:bottom w:val="single" w:color="2E75B6" w:sz="1"/>
              <w:right w:val="single" w:color="2E75B6" w:sz="1"/>
            </w:tcBorders>
            <w:shd w:fill="BDD7EE" w:val="clear"/>
            <w:tcMar>
              <w:top w:type="dxa" w:w="80"/>
              <w:left w:type="dxa" w:w="100"/>
              <w:bottom w:type="dxa" w:w="80"/>
              <w:right w:type="dxa" w:w="100"/>
            </w:tcMar>
            <w:vAlign w:val="center"/>
          </w:tcPr>
          <w:p>
            <w:r>
              <w:rPr>
                <w:rFonts w:ascii="Arial" w:cs="Arial" w:eastAsia="Arial" w:hAnsi="Arial"/>
                <w:b/>
                <w:bCs/>
                <w:color w:val="1F4E79"/>
                <w:sz w:val="20"/>
                <w:szCs w:val="20"/>
              </w:rPr>
              <w:t xml:space="preserve">Mediana [Q1–Q3]</w:t>
            </w:r>
          </w:p>
        </w:tc>
        <w:tc>
          <w:tcPr>
            <w:tcW w:type="dxa" w:w="1800"/>
            <w:tcBorders>
              <w:top w:val="single" w:color="2E75B6" w:sz="1"/>
              <w:left w:val="single" w:color="2E75B6" w:sz="1"/>
              <w:bottom w:val="single" w:color="2E75B6" w:sz="1"/>
              <w:right w:val="single" w:color="2E75B6" w:sz="1"/>
            </w:tcBorders>
            <w:shd w:fill="BDD7EE" w:val="clear"/>
            <w:tcMar>
              <w:top w:type="dxa" w:w="80"/>
              <w:left w:type="dxa" w:w="100"/>
              <w:bottom w:type="dxa" w:w="80"/>
              <w:right w:type="dxa" w:w="100"/>
            </w:tcMar>
            <w:vAlign w:val="center"/>
          </w:tcPr>
          <w:p>
            <w:r>
              <w:rPr>
                <w:rFonts w:ascii="Arial" w:cs="Arial" w:eastAsia="Arial" w:hAnsi="Arial"/>
                <w:b/>
                <w:bCs/>
                <w:color w:val="1F4E79"/>
                <w:sz w:val="20"/>
                <w:szCs w:val="20"/>
              </w:rPr>
              <w:t xml:space="preserve">↑ Fuori range</w:t>
            </w:r>
          </w:p>
        </w:tc>
        <w:tc>
          <w:tcPr>
            <w:tcW w:type="dxa" w:w="1360"/>
            <w:tcBorders>
              <w:top w:val="single" w:color="2E75B6" w:sz="1"/>
              <w:left w:val="single" w:color="2E75B6" w:sz="1"/>
              <w:bottom w:val="single" w:color="2E75B6" w:sz="1"/>
              <w:right w:val="single" w:color="2E75B6" w:sz="1"/>
            </w:tcBorders>
            <w:shd w:fill="BDD7EE" w:val="clear"/>
            <w:tcMar>
              <w:top w:type="dxa" w:w="80"/>
              <w:left w:type="dxa" w:w="100"/>
              <w:bottom w:type="dxa" w:w="80"/>
              <w:right w:type="dxa" w:w="100"/>
            </w:tcMar>
            <w:vAlign w:val="center"/>
          </w:tcPr>
          <w:p>
            <w:r>
              <w:rPr>
                <w:rFonts w:ascii="Arial" w:cs="Arial" w:eastAsia="Arial" w:hAnsi="Arial"/>
                <w:b/>
                <w:bCs/>
                <w:color w:val="1F4E79"/>
                <w:sz w:val="20"/>
                <w:szCs w:val="20"/>
              </w:rPr>
              <w:t xml:space="preserve">2× ULN</w:t>
            </w:r>
          </w:p>
        </w:tc>
      </w:tr>
      <w:tr>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AST (GOT)</w:t>
            </w:r>
          </w:p>
        </w:tc>
        <w:tc>
          <w:tcPr>
            <w:tcW w:type="dxa" w:w="2100"/>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8.0</w:t>
            </w:r>
          </w:p>
        </w:tc>
        <w:tc>
          <w:tcPr>
            <w:tcW w:type="dxa" w:w="2100"/>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134.0 U/L</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21 [18–25]</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759 (6.4%)</w:t>
            </w:r>
          </w:p>
        </w:tc>
        <w:tc>
          <w:tcPr>
            <w:tcW w:type="dxa" w:w="1360"/>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68</w:t>
            </w:r>
          </w:p>
        </w:tc>
      </w:tr>
      <w:tr>
        <w:tc>
          <w:tcPr>
            <w:tcW w:type="dxa" w:w="1800"/>
            <w:gridSpan w:val="1"/>
            <w:tcBorders>
              <w:top w:val="single" w:color="CCCCCC" w:sz="1"/>
              <w:left w:val="single" w:color="CCCCCC" w:sz="1"/>
              <w:bottom w:val="single" w:color="CCCCCC" w:sz="1"/>
              <w:right w:val="single" w:color="CCCCCC" w:sz="1"/>
            </w:tcBorders>
            <w:shd w:fill="F5F9FC"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ALT (GPT)</w:t>
            </w:r>
          </w:p>
        </w:tc>
        <w:tc>
          <w:tcPr>
            <w:tcW w:type="dxa" w:w="2100"/>
            <w:gridSpan w:val="1"/>
            <w:tcBorders>
              <w:top w:val="single" w:color="CCCCCC" w:sz="1"/>
              <w:left w:val="single" w:color="CCCCCC" w:sz="1"/>
              <w:bottom w:val="single" w:color="CCCCCC" w:sz="1"/>
              <w:right w:val="single" w:color="CCCCCC" w:sz="1"/>
            </w:tcBorders>
            <w:shd w:fill="F5F9FC"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4.0</w:t>
            </w:r>
          </w:p>
        </w:tc>
        <w:tc>
          <w:tcPr>
            <w:tcW w:type="dxa" w:w="2100"/>
            <w:gridSpan w:val="1"/>
            <w:tcBorders>
              <w:top w:val="single" w:color="CCCCCC" w:sz="1"/>
              <w:left w:val="single" w:color="CCCCCC" w:sz="1"/>
              <w:bottom w:val="single" w:color="CCCCCC" w:sz="1"/>
              <w:right w:val="single" w:color="CCCCCC" w:sz="1"/>
            </w:tcBorders>
            <w:shd w:fill="F5F9FC"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206.0 U/L</w:t>
            </w:r>
          </w:p>
        </w:tc>
        <w:tc>
          <w:tcPr>
            <w:tcW w:type="dxa" w:w="2200"/>
            <w:gridSpan w:val="1"/>
            <w:tcBorders>
              <w:top w:val="single" w:color="CCCCCC" w:sz="1"/>
              <w:left w:val="single" w:color="CCCCCC" w:sz="1"/>
              <w:bottom w:val="single" w:color="CCCCCC" w:sz="1"/>
              <w:right w:val="single" w:color="CCCCCC" w:sz="1"/>
            </w:tcBorders>
            <w:shd w:fill="F5F9FC"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20 [15–28]</w:t>
            </w:r>
          </w:p>
        </w:tc>
        <w:tc>
          <w:tcPr>
            <w:tcW w:type="dxa" w:w="1800"/>
            <w:gridSpan w:val="1"/>
            <w:tcBorders>
              <w:top w:val="single" w:color="CCCCCC" w:sz="1"/>
              <w:left w:val="single" w:color="CCCCCC" w:sz="1"/>
              <w:bottom w:val="single" w:color="CCCCCC" w:sz="1"/>
              <w:right w:val="single" w:color="CCCCCC" w:sz="1"/>
            </w:tcBorders>
            <w:shd w:fill="F5F9FC"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366 (3.1%)</w:t>
            </w:r>
          </w:p>
        </w:tc>
        <w:tc>
          <w:tcPr>
            <w:tcW w:type="dxa" w:w="1360"/>
            <w:gridSpan w:val="1"/>
            <w:tcBorders>
              <w:top w:val="single" w:color="CCCCCC" w:sz="1"/>
              <w:left w:val="single" w:color="CCCCCC" w:sz="1"/>
              <w:bottom w:val="single" w:color="CCCCCC" w:sz="1"/>
              <w:right w:val="single" w:color="CCCCCC" w:sz="1"/>
            </w:tcBorders>
            <w:shd w:fill="F5F9FC"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36</w:t>
            </w:r>
          </w:p>
        </w:tc>
      </w:tr>
    </w:tbl>
    <w:p>
      <w:pPr>
        <w:spacing w:after="120" w:before="0"/>
        <w:jc w:val="left"/>
      </w:pPr>
      <w:r>
        <w:rPr>
          <w:rFonts w:ascii="Arial" w:cs="Arial" w:eastAsia="Arial" w:hAnsi="Arial"/>
          <w:b w:val="false"/>
          <w:bCs w:val="false"/>
          <w:color w:val="555555"/>
          <w:sz w:val="24"/>
          <w:szCs w:val="24"/>
        </w:rPr>
        <w:t xml:space="preserve">Nota: i valori massimi riportati sono post-cleaning (rimozione ULN×4). Nel dataset raw i massimi erano rispettivamente 531 U/L per AST e 513 U/L per ALT.</w:t>
      </w:r>
    </w:p>
    <w:p>
      <w:pPr>
        <w:spacing w:after="0" w:before="0"/>
      </w:pPr>
      <w:r>
        <w:t xml:space="preserve"/>
      </w:r>
    </w:p>
    <w:p>
      <w:pPr>
        <w:pStyle w:val="Heading2"/>
        <w:spacing w:after="120" w:before="240"/>
      </w:pPr>
      <w:r>
        <w:rPr>
          <w:rFonts w:ascii="Arial" w:cs="Arial" w:eastAsia="Arial" w:hAnsi="Arial"/>
          <w:b/>
          <w:bCs/>
          <w:color w:val="2E75B6"/>
          <w:sz w:val="26"/>
          <w:szCs w:val="26"/>
        </w:rPr>
        <w:t xml:space="preserve">6.4 Emocromo — Neutrofili, Linfociti, Piastrine, RDW-CV</w:t>
      </w:r>
    </w:p>
    <w:p>
      <w:pPr>
        <w:spacing w:after="120" w:before="0"/>
        <w:jc w:val="left"/>
      </w:pPr>
      <w:r>
        <w:rPr>
          <w:rFonts w:ascii="Arial" w:cs="Arial" w:eastAsia="Arial" w:hAnsi="Arial"/>
          <w:b w:val="false"/>
          <w:bCs w:val="false"/>
          <w:color w:val="000000"/>
          <w:sz w:val="24"/>
          <w:szCs w:val="24"/>
        </w:rPr>
        <w:t xml:space="preserve">I parametri dell’emocromo mostrano distribuzioni generalmente nei range di normalità. I range di riferimento per Neutrofili e Linfociti sono stratificati per fascia d’età (15–64 anni vs &gt;64 anni).</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800"/>
        <w:gridCol w:w="1000"/>
        <w:gridCol w:w="2500"/>
        <w:gridCol w:w="1600"/>
        <w:gridCol w:w="1460"/>
      </w:tblGrid>
      <w:tr>
        <w:tc>
          <w:tcPr>
            <w:tcW w:type="dxa" w:w="2000"/>
            <w:tcBorders>
              <w:top w:val="single" w:color="2E75B6" w:sz="1"/>
              <w:left w:val="single" w:color="2E75B6" w:sz="1"/>
              <w:bottom w:val="single" w:color="2E75B6" w:sz="1"/>
              <w:right w:val="single" w:color="2E75B6" w:sz="1"/>
            </w:tcBorders>
            <w:shd w:fill="BDD7EE" w:val="clear"/>
            <w:tcMar>
              <w:top w:type="dxa" w:w="80"/>
              <w:left w:type="dxa" w:w="100"/>
              <w:bottom w:type="dxa" w:w="80"/>
              <w:right w:type="dxa" w:w="100"/>
            </w:tcMar>
            <w:vAlign w:val="center"/>
          </w:tcPr>
          <w:p>
            <w:r>
              <w:rPr>
                <w:rFonts w:ascii="Arial" w:cs="Arial" w:eastAsia="Arial" w:hAnsi="Arial"/>
                <w:b/>
                <w:bCs/>
                <w:color w:val="1F4E79"/>
                <w:sz w:val="20"/>
                <w:szCs w:val="20"/>
              </w:rPr>
              <w:t xml:space="preserve">Marker</w:t>
            </w:r>
          </w:p>
        </w:tc>
        <w:tc>
          <w:tcPr>
            <w:tcW w:type="dxa" w:w="800"/>
            <w:tcBorders>
              <w:top w:val="single" w:color="2E75B6" w:sz="1"/>
              <w:left w:val="single" w:color="2E75B6" w:sz="1"/>
              <w:bottom w:val="single" w:color="2E75B6" w:sz="1"/>
              <w:right w:val="single" w:color="2E75B6" w:sz="1"/>
            </w:tcBorders>
            <w:shd w:fill="BDD7EE" w:val="clear"/>
            <w:tcMar>
              <w:top w:type="dxa" w:w="80"/>
              <w:left w:type="dxa" w:w="100"/>
              <w:bottom w:type="dxa" w:w="80"/>
              <w:right w:type="dxa" w:w="100"/>
            </w:tcMar>
            <w:vAlign w:val="center"/>
          </w:tcPr>
          <w:p>
            <w:r>
              <w:rPr>
                <w:rFonts w:ascii="Arial" w:cs="Arial" w:eastAsia="Arial" w:hAnsi="Arial"/>
                <w:b/>
                <w:bCs/>
                <w:color w:val="1F4E79"/>
                <w:sz w:val="20"/>
                <w:szCs w:val="20"/>
              </w:rPr>
              <w:t xml:space="preserve">Min</w:t>
            </w:r>
          </w:p>
        </w:tc>
        <w:tc>
          <w:tcPr>
            <w:tcW w:type="dxa" w:w="1000"/>
            <w:tcBorders>
              <w:top w:val="single" w:color="2E75B6" w:sz="1"/>
              <w:left w:val="single" w:color="2E75B6" w:sz="1"/>
              <w:bottom w:val="single" w:color="2E75B6" w:sz="1"/>
              <w:right w:val="single" w:color="2E75B6" w:sz="1"/>
            </w:tcBorders>
            <w:shd w:fill="BDD7EE" w:val="clear"/>
            <w:tcMar>
              <w:top w:type="dxa" w:w="80"/>
              <w:left w:type="dxa" w:w="100"/>
              <w:bottom w:type="dxa" w:w="80"/>
              <w:right w:type="dxa" w:w="100"/>
            </w:tcMar>
            <w:vAlign w:val="center"/>
          </w:tcPr>
          <w:p>
            <w:r>
              <w:rPr>
                <w:rFonts w:ascii="Arial" w:cs="Arial" w:eastAsia="Arial" w:hAnsi="Arial"/>
                <w:b/>
                <w:bCs/>
                <w:color w:val="1F4E79"/>
                <w:sz w:val="20"/>
                <w:szCs w:val="20"/>
              </w:rPr>
              <w:t xml:space="preserve">Max</w:t>
            </w:r>
          </w:p>
        </w:tc>
        <w:tc>
          <w:tcPr>
            <w:tcW w:type="dxa" w:w="2500"/>
            <w:tcBorders>
              <w:top w:val="single" w:color="2E75B6" w:sz="1"/>
              <w:left w:val="single" w:color="2E75B6" w:sz="1"/>
              <w:bottom w:val="single" w:color="2E75B6" w:sz="1"/>
              <w:right w:val="single" w:color="2E75B6" w:sz="1"/>
            </w:tcBorders>
            <w:shd w:fill="BDD7EE" w:val="clear"/>
            <w:tcMar>
              <w:top w:type="dxa" w:w="80"/>
              <w:left w:type="dxa" w:w="100"/>
              <w:bottom w:type="dxa" w:w="80"/>
              <w:right w:type="dxa" w:w="100"/>
            </w:tcMar>
            <w:vAlign w:val="center"/>
          </w:tcPr>
          <w:p>
            <w:r>
              <w:rPr>
                <w:rFonts w:ascii="Arial" w:cs="Arial" w:eastAsia="Arial" w:hAnsi="Arial"/>
                <w:b/>
                <w:bCs/>
                <w:color w:val="1F4E79"/>
                <w:sz w:val="20"/>
                <w:szCs w:val="20"/>
              </w:rPr>
              <w:t xml:space="preserve">Mediana [Q1–Q3]</w:t>
            </w:r>
          </w:p>
        </w:tc>
        <w:tc>
          <w:tcPr>
            <w:tcW w:type="dxa" w:w="1600"/>
            <w:tcBorders>
              <w:top w:val="single" w:color="2E75B6" w:sz="1"/>
              <w:left w:val="single" w:color="2E75B6" w:sz="1"/>
              <w:bottom w:val="single" w:color="2E75B6" w:sz="1"/>
              <w:right w:val="single" w:color="2E75B6" w:sz="1"/>
            </w:tcBorders>
            <w:shd w:fill="BDD7EE" w:val="clear"/>
            <w:tcMar>
              <w:top w:type="dxa" w:w="80"/>
              <w:left w:type="dxa" w:w="100"/>
              <w:bottom w:type="dxa" w:w="80"/>
              <w:right w:type="dxa" w:w="100"/>
            </w:tcMar>
            <w:vAlign w:val="center"/>
          </w:tcPr>
          <w:p>
            <w:r>
              <w:rPr>
                <w:rFonts w:ascii="Arial" w:cs="Arial" w:eastAsia="Arial" w:hAnsi="Arial"/>
                <w:b/>
                <w:bCs/>
                <w:color w:val="1F4E79"/>
                <w:sz w:val="20"/>
                <w:szCs w:val="20"/>
              </w:rPr>
              <w:t xml:space="preserve">↓ Fuori range</w:t>
            </w:r>
          </w:p>
        </w:tc>
        <w:tc>
          <w:tcPr>
            <w:tcW w:type="dxa" w:w="1460"/>
            <w:tcBorders>
              <w:top w:val="single" w:color="2E75B6" w:sz="1"/>
              <w:left w:val="single" w:color="2E75B6" w:sz="1"/>
              <w:bottom w:val="single" w:color="2E75B6" w:sz="1"/>
              <w:right w:val="single" w:color="2E75B6" w:sz="1"/>
            </w:tcBorders>
            <w:shd w:fill="BDD7EE" w:val="clear"/>
            <w:tcMar>
              <w:top w:type="dxa" w:w="80"/>
              <w:left w:type="dxa" w:w="100"/>
              <w:bottom w:type="dxa" w:w="80"/>
              <w:right w:type="dxa" w:w="100"/>
            </w:tcMar>
            <w:vAlign w:val="center"/>
          </w:tcPr>
          <w:p>
            <w:r>
              <w:rPr>
                <w:rFonts w:ascii="Arial" w:cs="Arial" w:eastAsia="Arial" w:hAnsi="Arial"/>
                <w:b/>
                <w:bCs/>
                <w:color w:val="1F4E79"/>
                <w:sz w:val="20"/>
                <w:szCs w:val="20"/>
              </w:rPr>
              <w:t xml:space="preserve">↑ Fuori range</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Neutrofili (×10⁹/L)</w:t>
            </w:r>
          </w:p>
        </w:tc>
        <w:tc>
          <w:tcPr>
            <w:tcW w:type="dxa" w:w="800"/>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0.4</w:t>
            </w:r>
          </w:p>
        </w:tc>
        <w:tc>
          <w:tcPr>
            <w:tcW w:type="dxa" w:w="1000"/>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20.7</w:t>
            </w:r>
          </w:p>
        </w:tc>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3.3 [2.7–4.2]</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510</w:t>
            </w:r>
          </w:p>
        </w:tc>
        <w:tc>
          <w:tcPr>
            <w:tcW w:type="dxa" w:w="1460"/>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91</w:t>
            </w:r>
          </w:p>
        </w:tc>
      </w:tr>
      <w:tr>
        <w:tc>
          <w:tcPr>
            <w:tcW w:type="dxa" w:w="2000"/>
            <w:gridSpan w:val="1"/>
            <w:tcBorders>
              <w:top w:val="single" w:color="CCCCCC" w:sz="1"/>
              <w:left w:val="single" w:color="CCCCCC" w:sz="1"/>
              <w:bottom w:val="single" w:color="CCCCCC" w:sz="1"/>
              <w:right w:val="single" w:color="CCCCCC" w:sz="1"/>
            </w:tcBorders>
            <w:shd w:fill="F5F9FC"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Linfociti (×10⁹/L)</w:t>
            </w:r>
          </w:p>
        </w:tc>
        <w:tc>
          <w:tcPr>
            <w:tcW w:type="dxa" w:w="800"/>
            <w:gridSpan w:val="1"/>
            <w:tcBorders>
              <w:top w:val="single" w:color="CCCCCC" w:sz="1"/>
              <w:left w:val="single" w:color="CCCCCC" w:sz="1"/>
              <w:bottom w:val="single" w:color="CCCCCC" w:sz="1"/>
              <w:right w:val="single" w:color="CCCCCC" w:sz="1"/>
            </w:tcBorders>
            <w:shd w:fill="F5F9FC"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0.3</w:t>
            </w:r>
          </w:p>
        </w:tc>
        <w:tc>
          <w:tcPr>
            <w:tcW w:type="dxa" w:w="1000"/>
            <w:gridSpan w:val="1"/>
            <w:tcBorders>
              <w:top w:val="single" w:color="CCCCCC" w:sz="1"/>
              <w:left w:val="single" w:color="CCCCCC" w:sz="1"/>
              <w:bottom w:val="single" w:color="CCCCCC" w:sz="1"/>
              <w:right w:val="single" w:color="CCCCCC" w:sz="1"/>
            </w:tcBorders>
            <w:shd w:fill="F5F9FC"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15.2</w:t>
            </w:r>
          </w:p>
        </w:tc>
        <w:tc>
          <w:tcPr>
            <w:tcW w:type="dxa" w:w="2500"/>
            <w:gridSpan w:val="1"/>
            <w:tcBorders>
              <w:top w:val="single" w:color="CCCCCC" w:sz="1"/>
              <w:left w:val="single" w:color="CCCCCC" w:sz="1"/>
              <w:bottom w:val="single" w:color="CCCCCC" w:sz="1"/>
              <w:right w:val="single" w:color="CCCCCC" w:sz="1"/>
            </w:tcBorders>
            <w:shd w:fill="F5F9FC"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2.1 [1.7–2.6]</w:t>
            </w:r>
          </w:p>
        </w:tc>
        <w:tc>
          <w:tcPr>
            <w:tcW w:type="dxa" w:w="1600"/>
            <w:gridSpan w:val="1"/>
            <w:tcBorders>
              <w:top w:val="single" w:color="CCCCCC" w:sz="1"/>
              <w:left w:val="single" w:color="CCCCCC" w:sz="1"/>
              <w:bottom w:val="single" w:color="CCCCCC" w:sz="1"/>
              <w:right w:val="single" w:color="CCCCCC" w:sz="1"/>
            </w:tcBorders>
            <w:shd w:fill="F5F9FC"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316</w:t>
            </w:r>
          </w:p>
        </w:tc>
        <w:tc>
          <w:tcPr>
            <w:tcW w:type="dxa" w:w="1460"/>
            <w:gridSpan w:val="1"/>
            <w:tcBorders>
              <w:top w:val="single" w:color="CCCCCC" w:sz="1"/>
              <w:left w:val="single" w:color="CCCCCC" w:sz="1"/>
              <w:bottom w:val="single" w:color="CCCCCC" w:sz="1"/>
              <w:right w:val="single" w:color="CCCCCC" w:sz="1"/>
            </w:tcBorders>
            <w:shd w:fill="F5F9FC"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163</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Piastrine (×10⁹/L)</w:t>
            </w:r>
          </w:p>
        </w:tc>
        <w:tc>
          <w:tcPr>
            <w:tcW w:type="dxa" w:w="800"/>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8.0</w:t>
            </w:r>
          </w:p>
        </w:tc>
        <w:tc>
          <w:tcPr>
            <w:tcW w:type="dxa" w:w="1000"/>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757.0</w:t>
            </w:r>
          </w:p>
        </w:tc>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242 [207–283]</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370</w:t>
            </w:r>
          </w:p>
        </w:tc>
        <w:tc>
          <w:tcPr>
            <w:tcW w:type="dxa" w:w="1460"/>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84</w:t>
            </w:r>
          </w:p>
        </w:tc>
      </w:tr>
      <w:tr>
        <w:tc>
          <w:tcPr>
            <w:tcW w:type="dxa" w:w="2000"/>
            <w:gridSpan w:val="1"/>
            <w:tcBorders>
              <w:top w:val="single" w:color="CCCCCC" w:sz="1"/>
              <w:left w:val="single" w:color="CCCCCC" w:sz="1"/>
              <w:bottom w:val="single" w:color="CCCCCC" w:sz="1"/>
              <w:right w:val="single" w:color="CCCCCC" w:sz="1"/>
            </w:tcBorders>
            <w:shd w:fill="F5F9FC"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RDW-CV (%)</w:t>
            </w:r>
          </w:p>
        </w:tc>
        <w:tc>
          <w:tcPr>
            <w:tcW w:type="dxa" w:w="800"/>
            <w:gridSpan w:val="1"/>
            <w:tcBorders>
              <w:top w:val="single" w:color="CCCCCC" w:sz="1"/>
              <w:left w:val="single" w:color="CCCCCC" w:sz="1"/>
              <w:bottom w:val="single" w:color="CCCCCC" w:sz="1"/>
              <w:right w:val="single" w:color="CCCCCC" w:sz="1"/>
            </w:tcBorders>
            <w:shd w:fill="F5F9FC"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11.1</w:t>
            </w:r>
          </w:p>
        </w:tc>
        <w:tc>
          <w:tcPr>
            <w:tcW w:type="dxa" w:w="1000"/>
            <w:gridSpan w:val="1"/>
            <w:tcBorders>
              <w:top w:val="single" w:color="CCCCCC" w:sz="1"/>
              <w:left w:val="single" w:color="CCCCCC" w:sz="1"/>
              <w:bottom w:val="single" w:color="CCCCCC" w:sz="1"/>
              <w:right w:val="single" w:color="CCCCCC" w:sz="1"/>
            </w:tcBorders>
            <w:shd w:fill="F5F9FC"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26.5</w:t>
            </w:r>
          </w:p>
        </w:tc>
        <w:tc>
          <w:tcPr>
            <w:tcW w:type="dxa" w:w="2500"/>
            <w:gridSpan w:val="1"/>
            <w:tcBorders>
              <w:top w:val="single" w:color="CCCCCC" w:sz="1"/>
              <w:left w:val="single" w:color="CCCCCC" w:sz="1"/>
              <w:bottom w:val="single" w:color="CCCCCC" w:sz="1"/>
              <w:right w:val="single" w:color="CCCCCC" w:sz="1"/>
            </w:tcBorders>
            <w:shd w:fill="F5F9FC"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13.1 [12.6–13.7]</w:t>
            </w:r>
          </w:p>
        </w:tc>
        <w:tc>
          <w:tcPr>
            <w:tcW w:type="dxa" w:w="1600"/>
            <w:gridSpan w:val="1"/>
            <w:tcBorders>
              <w:top w:val="single" w:color="CCCCCC" w:sz="1"/>
              <w:left w:val="single" w:color="CCCCCC" w:sz="1"/>
              <w:bottom w:val="single" w:color="CCCCCC" w:sz="1"/>
              <w:right w:val="single" w:color="CCCCCC" w:sz="1"/>
            </w:tcBorders>
            <w:shd w:fill="F5F9FC"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0</w:t>
            </w:r>
          </w:p>
        </w:tc>
        <w:tc>
          <w:tcPr>
            <w:tcW w:type="dxa" w:w="1460"/>
            <w:gridSpan w:val="1"/>
            <w:tcBorders>
              <w:top w:val="single" w:color="CCCCCC" w:sz="1"/>
              <w:left w:val="single" w:color="CCCCCC" w:sz="1"/>
              <w:bottom w:val="single" w:color="CCCCCC" w:sz="1"/>
              <w:right w:val="single" w:color="CCCCCC" w:sz="1"/>
            </w:tcBorders>
            <w:shd w:fill="F5F9FC"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99</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2"/>
              <w:bottom w:val="single" w:color="C55A11" w:sz="1"/>
              <w:right w:val="single" w:color="C55A11" w:sz="1"/>
            </w:tcBorders>
            <w:shd w:fill="FCE4D6" w:val="clear"/>
            <w:tcMar>
              <w:top w:type="dxa" w:w="100"/>
              <w:left w:type="dxa" w:w="180"/>
              <w:bottom w:type="dxa" w:w="100"/>
              <w:right w:type="dxa" w:w="180"/>
            </w:tcMar>
          </w:tcPr>
          <w:p>
            <w:pPr>
              <w:spacing w:after="60" w:before="0"/>
            </w:pPr>
            <w:r>
              <w:rPr>
                <w:rFonts w:ascii="Arial" w:cs="Arial" w:eastAsia="Arial" w:hAnsi="Arial"/>
                <w:b/>
                <w:bCs/>
                <w:sz w:val="22"/>
                <w:szCs w:val="22"/>
              </w:rPr>
              <w:t xml:space="preserve">ATTENZIONE — Valori estremi emocromo da verificare</w:t>
            </w:r>
          </w:p>
          <w:p>
            <w:pPr>
              <w:spacing w:after="40" w:before="0"/>
            </w:pPr>
            <w:r>
              <w:rPr>
                <w:rFonts w:ascii="Arial" w:cs="Arial" w:eastAsia="Arial" w:hAnsi="Arial"/>
                <w:sz w:val="20"/>
                <w:szCs w:val="20"/>
              </w:rPr>
              <w:t xml:space="preserve">Linfociti: valore massimo 15.2 ×10⁹/L (dopo cleaning ULN×4). Nel raw il massimo era 82.3 ×10⁹/L — 20× il limite superiore. Possibile errore di unità di misura o patologia ematologica grave.</w:t>
            </w:r>
          </w:p>
          <w:p>
            <w:pPr>
              <w:spacing w:after="40" w:before="0"/>
            </w:pPr>
            <w:r>
              <w:rPr>
                <w:rFonts w:ascii="Arial" w:cs="Arial" w:eastAsia="Arial" w:hAnsi="Arial"/>
                <w:sz w:val="20"/>
                <w:szCs w:val="20"/>
              </w:rPr>
              <w:t xml:space="preserve">Piastrine: valore minimo 8 ×10⁹/L (soglia di emergenza clinica &lt;10). Piastrinopenia critica: compatibile con aplasia midollare o errore di trascrizione.</w:t>
            </w:r>
          </w:p>
          <w:p>
            <w:pPr>
              <w:spacing w:after="40" w:before="0"/>
            </w:pPr>
            <w:r>
              <w:rPr>
                <w:rFonts w:ascii="Arial" w:cs="Arial" w:eastAsia="Arial" w:hAnsi="Arial"/>
                <w:sz w:val="20"/>
                <w:szCs w:val="20"/>
              </w:rPr>
              <w:t xml:space="preserve">Azione richiesta: confermare con il laboratorio se questi valori siano stati verificati clinicamente.</w:t>
            </w:r>
          </w:p>
        </w:tc>
      </w:tr>
    </w:tbl>
    <w:p>
      <w:pPr>
        <w:spacing w:after="0" w:before="0"/>
      </w:pPr>
      <w:r>
        <w:t xml:space="preserve"/>
      </w:r>
    </w:p>
    <w:p>
      <w:pPr>
        <w:pStyle w:val="Heading2"/>
        <w:spacing w:after="120" w:before="240"/>
      </w:pPr>
      <w:r>
        <w:rPr>
          <w:rFonts w:ascii="Arial" w:cs="Arial" w:eastAsia="Arial" w:hAnsi="Arial"/>
          <w:b/>
          <w:bCs/>
          <w:color w:val="2E75B6"/>
          <w:sz w:val="26"/>
          <w:szCs w:val="26"/>
        </w:rPr>
        <w:t xml:space="preserve">6.5 Marcatori Metabolici e Renali — Creatinina e Urea</w:t>
      </w:r>
    </w:p>
    <w:p>
      <w:pPr>
        <w:spacing w:after="120" w:before="0"/>
        <w:jc w:val="left"/>
      </w:pPr>
      <w:r>
        <w:rPr>
          <w:rFonts w:ascii="Arial" w:cs="Arial" w:eastAsia="Arial" w:hAnsi="Arial"/>
          <w:b w:val="false"/>
          <w:bCs w:val="false"/>
          <w:color w:val="000000"/>
          <w:sz w:val="24"/>
          <w:szCs w:val="24"/>
        </w:rPr>
        <w:t xml:space="preserve">La creatinina mostra distribuzioni sesso-specifiche appropriate. L’urea presenta una distribuzione molto ampia con coda superiore estesa, possibile spia del problema sistemico descritto nella Sezione 7.</w:t>
      </w:r>
    </w:p>
    <w:p>
      <w:pPr>
        <w:spacing w:after="0" w:before="0"/>
      </w:pPr>
      <w:r>
        <w:t xml:space="preserve"/>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3100"/>
        <w:gridCol w:w="700"/>
        <w:gridCol w:w="900"/>
        <w:gridCol w:w="2200"/>
        <w:gridCol w:w="1600"/>
        <w:gridCol w:w="1860"/>
      </w:tblGrid>
      <w:tr>
        <w:tc>
          <w:tcPr>
            <w:tcW w:type="dxa" w:w="3100"/>
            <w:tcBorders>
              <w:top w:val="single" w:color="2E75B6" w:sz="1"/>
              <w:left w:val="single" w:color="2E75B6" w:sz="1"/>
              <w:bottom w:val="single" w:color="2E75B6" w:sz="1"/>
              <w:right w:val="single" w:color="2E75B6" w:sz="1"/>
            </w:tcBorders>
            <w:shd w:fill="BDD7EE" w:val="clear"/>
            <w:tcMar>
              <w:top w:type="dxa" w:w="80"/>
              <w:left w:type="dxa" w:w="100"/>
              <w:bottom w:type="dxa" w:w="80"/>
              <w:right w:type="dxa" w:w="100"/>
            </w:tcMar>
            <w:vAlign w:val="center"/>
          </w:tcPr>
          <w:p>
            <w:r>
              <w:rPr>
                <w:rFonts w:ascii="Arial" w:cs="Arial" w:eastAsia="Arial" w:hAnsi="Arial"/>
                <w:b/>
                <w:bCs/>
                <w:color w:val="1F4E79"/>
                <w:sz w:val="20"/>
                <w:szCs w:val="20"/>
              </w:rPr>
              <w:t xml:space="preserve">Marker</w:t>
            </w:r>
          </w:p>
        </w:tc>
        <w:tc>
          <w:tcPr>
            <w:tcW w:type="dxa" w:w="700"/>
            <w:tcBorders>
              <w:top w:val="single" w:color="2E75B6" w:sz="1"/>
              <w:left w:val="single" w:color="2E75B6" w:sz="1"/>
              <w:bottom w:val="single" w:color="2E75B6" w:sz="1"/>
              <w:right w:val="single" w:color="2E75B6" w:sz="1"/>
            </w:tcBorders>
            <w:shd w:fill="BDD7EE" w:val="clear"/>
            <w:tcMar>
              <w:top w:type="dxa" w:w="80"/>
              <w:left w:type="dxa" w:w="100"/>
              <w:bottom w:type="dxa" w:w="80"/>
              <w:right w:type="dxa" w:w="100"/>
            </w:tcMar>
            <w:vAlign w:val="center"/>
          </w:tcPr>
          <w:p>
            <w:r>
              <w:rPr>
                <w:rFonts w:ascii="Arial" w:cs="Arial" w:eastAsia="Arial" w:hAnsi="Arial"/>
                <w:b/>
                <w:bCs/>
                <w:color w:val="1F4E79"/>
                <w:sz w:val="20"/>
                <w:szCs w:val="20"/>
              </w:rPr>
              <w:t xml:space="preserve">Min</w:t>
            </w:r>
          </w:p>
        </w:tc>
        <w:tc>
          <w:tcPr>
            <w:tcW w:type="dxa" w:w="900"/>
            <w:tcBorders>
              <w:top w:val="single" w:color="2E75B6" w:sz="1"/>
              <w:left w:val="single" w:color="2E75B6" w:sz="1"/>
              <w:bottom w:val="single" w:color="2E75B6" w:sz="1"/>
              <w:right w:val="single" w:color="2E75B6" w:sz="1"/>
            </w:tcBorders>
            <w:shd w:fill="BDD7EE" w:val="clear"/>
            <w:tcMar>
              <w:top w:type="dxa" w:w="80"/>
              <w:left w:type="dxa" w:w="100"/>
              <w:bottom w:type="dxa" w:w="80"/>
              <w:right w:type="dxa" w:w="100"/>
            </w:tcMar>
            <w:vAlign w:val="center"/>
          </w:tcPr>
          <w:p>
            <w:r>
              <w:rPr>
                <w:rFonts w:ascii="Arial" w:cs="Arial" w:eastAsia="Arial" w:hAnsi="Arial"/>
                <w:b/>
                <w:bCs/>
                <w:color w:val="1F4E79"/>
                <w:sz w:val="20"/>
                <w:szCs w:val="20"/>
              </w:rPr>
              <w:t xml:space="preserve">Max</w:t>
            </w:r>
          </w:p>
        </w:tc>
        <w:tc>
          <w:tcPr>
            <w:tcW w:type="dxa" w:w="2200"/>
            <w:tcBorders>
              <w:top w:val="single" w:color="2E75B6" w:sz="1"/>
              <w:left w:val="single" w:color="2E75B6" w:sz="1"/>
              <w:bottom w:val="single" w:color="2E75B6" w:sz="1"/>
              <w:right w:val="single" w:color="2E75B6" w:sz="1"/>
            </w:tcBorders>
            <w:shd w:fill="BDD7EE" w:val="clear"/>
            <w:tcMar>
              <w:top w:type="dxa" w:w="80"/>
              <w:left w:type="dxa" w:w="100"/>
              <w:bottom w:type="dxa" w:w="80"/>
              <w:right w:type="dxa" w:w="100"/>
            </w:tcMar>
            <w:vAlign w:val="center"/>
          </w:tcPr>
          <w:p>
            <w:r>
              <w:rPr>
                <w:rFonts w:ascii="Arial" w:cs="Arial" w:eastAsia="Arial" w:hAnsi="Arial"/>
                <w:b/>
                <w:bCs/>
                <w:color w:val="1F4E79"/>
                <w:sz w:val="20"/>
                <w:szCs w:val="20"/>
              </w:rPr>
              <w:t xml:space="preserve">Mediana [Q1–Q3]</w:t>
            </w:r>
          </w:p>
        </w:tc>
        <w:tc>
          <w:tcPr>
            <w:tcW w:type="dxa" w:w="1600"/>
            <w:tcBorders>
              <w:top w:val="single" w:color="2E75B6" w:sz="1"/>
              <w:left w:val="single" w:color="2E75B6" w:sz="1"/>
              <w:bottom w:val="single" w:color="2E75B6" w:sz="1"/>
              <w:right w:val="single" w:color="2E75B6" w:sz="1"/>
            </w:tcBorders>
            <w:shd w:fill="BDD7EE" w:val="clear"/>
            <w:tcMar>
              <w:top w:type="dxa" w:w="80"/>
              <w:left w:type="dxa" w:w="100"/>
              <w:bottom w:type="dxa" w:w="80"/>
              <w:right w:type="dxa" w:w="100"/>
            </w:tcMar>
            <w:vAlign w:val="center"/>
          </w:tcPr>
          <w:p>
            <w:r>
              <w:rPr>
                <w:rFonts w:ascii="Arial" w:cs="Arial" w:eastAsia="Arial" w:hAnsi="Arial"/>
                <w:b/>
                <w:bCs/>
                <w:color w:val="1F4E79"/>
                <w:sz w:val="20"/>
                <w:szCs w:val="20"/>
              </w:rPr>
              <w:t xml:space="preserve">↓ Fuori range</w:t>
            </w:r>
          </w:p>
        </w:tc>
        <w:tc>
          <w:tcPr>
            <w:tcW w:type="dxa" w:w="1860"/>
            <w:tcBorders>
              <w:top w:val="single" w:color="2E75B6" w:sz="1"/>
              <w:left w:val="single" w:color="2E75B6" w:sz="1"/>
              <w:bottom w:val="single" w:color="2E75B6" w:sz="1"/>
              <w:right w:val="single" w:color="2E75B6" w:sz="1"/>
            </w:tcBorders>
            <w:shd w:fill="BDD7EE" w:val="clear"/>
            <w:tcMar>
              <w:top w:type="dxa" w:w="80"/>
              <w:left w:type="dxa" w:w="100"/>
              <w:bottom w:type="dxa" w:w="80"/>
              <w:right w:type="dxa" w:w="100"/>
            </w:tcMar>
            <w:vAlign w:val="center"/>
          </w:tcPr>
          <w:p>
            <w:r>
              <w:rPr>
                <w:rFonts w:ascii="Arial" w:cs="Arial" w:eastAsia="Arial" w:hAnsi="Arial"/>
                <w:b/>
                <w:bCs/>
                <w:color w:val="1F4E79"/>
                <w:sz w:val="20"/>
                <w:szCs w:val="20"/>
              </w:rPr>
              <w:t xml:space="preserve">↑ Fuori range</w:t>
            </w:r>
          </w:p>
        </w:tc>
      </w:tr>
      <w:tr>
        <w:tc>
          <w:tcPr>
            <w:tcW w:type="dxa" w:w="3100"/>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Creatinina (F: 0.55–1.0; M: 0.73–1.2) mg/dL</w:t>
            </w:r>
          </w:p>
        </w:tc>
        <w:tc>
          <w:tcPr>
            <w:tcW w:type="dxa" w:w="700"/>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0.2</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4.7</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0.8 [0.7–1.0]</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239</w:t>
            </w:r>
          </w:p>
        </w:tc>
        <w:tc>
          <w:tcPr>
            <w:tcW w:type="dxa" w:w="1860"/>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641</w:t>
            </w:r>
          </w:p>
        </w:tc>
      </w:tr>
      <w:tr>
        <w:tc>
          <w:tcPr>
            <w:tcW w:type="dxa" w:w="3100"/>
            <w:gridSpan w:val="1"/>
            <w:tcBorders>
              <w:top w:val="single" w:color="CCCCCC" w:sz="1"/>
              <w:left w:val="single" w:color="CCCCCC" w:sz="1"/>
              <w:bottom w:val="single" w:color="CCCCCC" w:sz="1"/>
              <w:right w:val="single" w:color="CCCCCC" w:sz="1"/>
            </w:tcBorders>
            <w:shd w:fill="F5F9FC"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Urea (20–50 mg/dL)</w:t>
            </w:r>
          </w:p>
        </w:tc>
        <w:tc>
          <w:tcPr>
            <w:tcW w:type="dxa" w:w="700"/>
            <w:gridSpan w:val="1"/>
            <w:tcBorders>
              <w:top w:val="single" w:color="CCCCCC" w:sz="1"/>
              <w:left w:val="single" w:color="CCCCCC" w:sz="1"/>
              <w:bottom w:val="single" w:color="CCCCCC" w:sz="1"/>
              <w:right w:val="single" w:color="CCCCCC" w:sz="1"/>
            </w:tcBorders>
            <w:shd w:fill="F5F9FC"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9.0</w:t>
            </w:r>
          </w:p>
        </w:tc>
        <w:tc>
          <w:tcPr>
            <w:tcW w:type="dxa" w:w="900"/>
            <w:gridSpan w:val="1"/>
            <w:tcBorders>
              <w:top w:val="single" w:color="CCCCCC" w:sz="1"/>
              <w:left w:val="single" w:color="CCCCCC" w:sz="1"/>
              <w:bottom w:val="single" w:color="CCCCCC" w:sz="1"/>
              <w:right w:val="single" w:color="CCCCCC" w:sz="1"/>
            </w:tcBorders>
            <w:shd w:fill="F5F9FC"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200.0</w:t>
            </w:r>
          </w:p>
        </w:tc>
        <w:tc>
          <w:tcPr>
            <w:tcW w:type="dxa" w:w="2200"/>
            <w:gridSpan w:val="1"/>
            <w:tcBorders>
              <w:top w:val="single" w:color="CCCCCC" w:sz="1"/>
              <w:left w:val="single" w:color="CCCCCC" w:sz="1"/>
              <w:bottom w:val="single" w:color="CCCCCC" w:sz="1"/>
              <w:right w:val="single" w:color="CCCCCC" w:sz="1"/>
            </w:tcBorders>
            <w:shd w:fill="F5F9FC"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35.2 [29.5–43.0]</w:t>
            </w:r>
          </w:p>
        </w:tc>
        <w:tc>
          <w:tcPr>
            <w:tcW w:type="dxa" w:w="1600"/>
            <w:gridSpan w:val="1"/>
            <w:tcBorders>
              <w:top w:val="single" w:color="CCCCCC" w:sz="1"/>
              <w:left w:val="single" w:color="CCCCCC" w:sz="1"/>
              <w:bottom w:val="single" w:color="CCCCCC" w:sz="1"/>
              <w:right w:val="single" w:color="CCCCCC" w:sz="1"/>
            </w:tcBorders>
            <w:shd w:fill="F5F9FC"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207</w:t>
            </w:r>
          </w:p>
        </w:tc>
        <w:tc>
          <w:tcPr>
            <w:tcW w:type="dxa" w:w="1860"/>
            <w:gridSpan w:val="1"/>
            <w:tcBorders>
              <w:top w:val="single" w:color="CCCCCC" w:sz="1"/>
              <w:left w:val="single" w:color="CCCCCC" w:sz="1"/>
              <w:bottom w:val="single" w:color="CCCCCC" w:sz="1"/>
              <w:right w:val="single" w:color="CCCCCC" w:sz="1"/>
            </w:tcBorders>
            <w:shd w:fill="F5F9FC"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1.230</w:t>
            </w:r>
          </w:p>
        </w:tc>
      </w:tr>
    </w:tbl>
    <w:p>
      <w:pPr>
        <w:spacing w:after="0" w:before="0"/>
      </w:pPr>
      <w:r>
        <w:t xml:space="preserve"/>
      </w:r>
    </w:p>
    <w:p>
      <w:pPr>
        <w:pStyle w:val="Heading2"/>
        <w:spacing w:after="120" w:before="240"/>
      </w:pPr>
      <w:r>
        <w:rPr>
          <w:rFonts w:ascii="Arial" w:cs="Arial" w:eastAsia="Arial" w:hAnsi="Arial"/>
          <w:b/>
          <w:bCs/>
          <w:color w:val="2E75B6"/>
          <w:sz w:val="26"/>
          <w:szCs w:val="26"/>
        </w:rPr>
        <w:t xml:space="preserve">6.6 Tabella Riepilogativa Outlier</w:t>
      </w:r>
    </w:p>
    <w:tbl>
      <w:tblPr>
        <w:tblW w:type="dxa" w:w="7260"/>
        <w:tblBorders>
          <w:top w:val="single" w:color="auto" w:sz="4"/>
          <w:left w:val="single" w:color="auto" w:sz="4"/>
          <w:bottom w:val="single" w:color="auto" w:sz="4"/>
          <w:right w:val="single" w:color="auto" w:sz="4"/>
          <w:insideH w:val="single" w:color="auto" w:sz="4"/>
          <w:insideV w:val="single" w:color="auto" w:sz="4"/>
        </w:tblBorders>
      </w:tblPr>
      <w:tblGrid>
        <w:gridCol w:w="2200"/>
        <w:gridCol w:w="700"/>
        <w:gridCol w:w="900"/>
        <w:gridCol w:w="900"/>
        <w:gridCol w:w="900"/>
        <w:gridCol w:w="800"/>
        <w:gridCol w:w="860"/>
      </w:tblGrid>
      <w:tr>
        <w:tc>
          <w:tcPr>
            <w:tcW w:type="dxa" w:w="2200"/>
            <w:tcBorders>
              <w:top w:val="single" w:color="2E75B6" w:sz="1"/>
              <w:left w:val="single" w:color="2E75B6" w:sz="1"/>
              <w:bottom w:val="single" w:color="2E75B6" w:sz="1"/>
              <w:right w:val="single" w:color="2E75B6" w:sz="1"/>
            </w:tcBorders>
            <w:shd w:fill="BDD7EE" w:val="clear"/>
            <w:tcMar>
              <w:top w:type="dxa" w:w="80"/>
              <w:left w:type="dxa" w:w="100"/>
              <w:bottom w:type="dxa" w:w="80"/>
              <w:right w:type="dxa" w:w="100"/>
            </w:tcMar>
            <w:vAlign w:val="center"/>
          </w:tcPr>
          <w:p>
            <w:r>
              <w:rPr>
                <w:rFonts w:ascii="Arial" w:cs="Arial" w:eastAsia="Arial" w:hAnsi="Arial"/>
                <w:b/>
                <w:bCs/>
                <w:color w:val="1F4E79"/>
                <w:sz w:val="20"/>
                <w:szCs w:val="20"/>
              </w:rPr>
              <w:t xml:space="preserve">Biomarcatore</w:t>
            </w:r>
          </w:p>
        </w:tc>
        <w:tc>
          <w:tcPr>
            <w:tcW w:type="dxa" w:w="700"/>
            <w:tcBorders>
              <w:top w:val="single" w:color="2E75B6" w:sz="1"/>
              <w:left w:val="single" w:color="2E75B6" w:sz="1"/>
              <w:bottom w:val="single" w:color="2E75B6" w:sz="1"/>
              <w:right w:val="single" w:color="2E75B6" w:sz="1"/>
            </w:tcBorders>
            <w:shd w:fill="BDD7EE" w:val="clear"/>
            <w:tcMar>
              <w:top w:type="dxa" w:w="80"/>
              <w:left w:type="dxa" w:w="100"/>
              <w:bottom w:type="dxa" w:w="80"/>
              <w:right w:type="dxa" w:w="100"/>
            </w:tcMar>
            <w:vAlign w:val="center"/>
          </w:tcPr>
          <w:p>
            <w:r>
              <w:rPr>
                <w:rFonts w:ascii="Arial" w:cs="Arial" w:eastAsia="Arial" w:hAnsi="Arial"/>
                <w:b/>
                <w:bCs/>
                <w:color w:val="1F4E79"/>
                <w:sz w:val="20"/>
                <w:szCs w:val="20"/>
              </w:rPr>
              <w:t xml:space="preserve">Min</w:t>
            </w:r>
          </w:p>
        </w:tc>
        <w:tc>
          <w:tcPr>
            <w:tcW w:type="dxa" w:w="900"/>
            <w:tcBorders>
              <w:top w:val="single" w:color="2E75B6" w:sz="1"/>
              <w:left w:val="single" w:color="2E75B6" w:sz="1"/>
              <w:bottom w:val="single" w:color="2E75B6" w:sz="1"/>
              <w:right w:val="single" w:color="2E75B6" w:sz="1"/>
            </w:tcBorders>
            <w:shd w:fill="BDD7EE" w:val="clear"/>
            <w:tcMar>
              <w:top w:type="dxa" w:w="80"/>
              <w:left w:type="dxa" w:w="100"/>
              <w:bottom w:type="dxa" w:w="80"/>
              <w:right w:type="dxa" w:w="100"/>
            </w:tcMar>
            <w:vAlign w:val="center"/>
          </w:tcPr>
          <w:p>
            <w:r>
              <w:rPr>
                <w:rFonts w:ascii="Arial" w:cs="Arial" w:eastAsia="Arial" w:hAnsi="Arial"/>
                <w:b/>
                <w:bCs/>
                <w:color w:val="1F4E79"/>
                <w:sz w:val="20"/>
                <w:szCs w:val="20"/>
              </w:rPr>
              <w:t xml:space="preserve">Max</w:t>
            </w:r>
          </w:p>
        </w:tc>
        <w:tc>
          <w:tcPr>
            <w:tcW w:type="dxa" w:w="900"/>
            <w:tcBorders>
              <w:top w:val="single" w:color="2E75B6" w:sz="1"/>
              <w:left w:val="single" w:color="2E75B6" w:sz="1"/>
              <w:bottom w:val="single" w:color="2E75B6" w:sz="1"/>
              <w:right w:val="single" w:color="2E75B6" w:sz="1"/>
            </w:tcBorders>
            <w:shd w:fill="BDD7EE" w:val="clear"/>
            <w:tcMar>
              <w:top w:type="dxa" w:w="80"/>
              <w:left w:type="dxa" w:w="100"/>
              <w:bottom w:type="dxa" w:w="80"/>
              <w:right w:type="dxa" w:w="100"/>
            </w:tcMar>
            <w:vAlign w:val="center"/>
          </w:tcPr>
          <w:p>
            <w:r>
              <w:rPr>
                <w:rFonts w:ascii="Arial" w:cs="Arial" w:eastAsia="Arial" w:hAnsi="Arial"/>
                <w:b/>
                <w:bCs/>
                <w:color w:val="1F4E79"/>
                <w:sz w:val="20"/>
                <w:szCs w:val="20"/>
              </w:rPr>
              <w:t xml:space="preserve">↓ Fuori</w:t>
            </w:r>
          </w:p>
        </w:tc>
        <w:tc>
          <w:tcPr>
            <w:tcW w:type="dxa" w:w="900"/>
            <w:tcBorders>
              <w:top w:val="single" w:color="2E75B6" w:sz="1"/>
              <w:left w:val="single" w:color="2E75B6" w:sz="1"/>
              <w:bottom w:val="single" w:color="2E75B6" w:sz="1"/>
              <w:right w:val="single" w:color="2E75B6" w:sz="1"/>
            </w:tcBorders>
            <w:shd w:fill="BDD7EE" w:val="clear"/>
            <w:tcMar>
              <w:top w:type="dxa" w:w="80"/>
              <w:left w:type="dxa" w:w="100"/>
              <w:bottom w:type="dxa" w:w="80"/>
              <w:right w:type="dxa" w:w="100"/>
            </w:tcMar>
            <w:vAlign w:val="center"/>
          </w:tcPr>
          <w:p>
            <w:r>
              <w:rPr>
                <w:rFonts w:ascii="Arial" w:cs="Arial" w:eastAsia="Arial" w:hAnsi="Arial"/>
                <w:b/>
                <w:bCs/>
                <w:color w:val="1F4E79"/>
                <w:sz w:val="20"/>
                <w:szCs w:val="20"/>
              </w:rPr>
              <w:t xml:space="preserve">↑ Fuori</w:t>
            </w:r>
          </w:p>
        </w:tc>
        <w:tc>
          <w:tcPr>
            <w:tcW w:type="dxa" w:w="800"/>
            <w:tcBorders>
              <w:top w:val="single" w:color="2E75B6" w:sz="1"/>
              <w:left w:val="single" w:color="2E75B6" w:sz="1"/>
              <w:bottom w:val="single" w:color="2E75B6" w:sz="1"/>
              <w:right w:val="single" w:color="2E75B6" w:sz="1"/>
            </w:tcBorders>
            <w:shd w:fill="BDD7EE" w:val="clear"/>
            <w:tcMar>
              <w:top w:type="dxa" w:w="80"/>
              <w:left w:type="dxa" w:w="100"/>
              <w:bottom w:type="dxa" w:w="80"/>
              <w:right w:type="dxa" w:w="100"/>
            </w:tcMar>
            <w:vAlign w:val="center"/>
          </w:tcPr>
          <w:p>
            <w:r>
              <w:rPr>
                <w:rFonts w:ascii="Arial" w:cs="Arial" w:eastAsia="Arial" w:hAnsi="Arial"/>
                <w:b/>
                <w:bCs/>
                <w:color w:val="1F4E79"/>
                <w:sz w:val="20"/>
                <w:szCs w:val="20"/>
              </w:rPr>
              <w:t xml:space="preserve">2×</w:t>
            </w:r>
          </w:p>
        </w:tc>
        <w:tc>
          <w:tcPr>
            <w:tcW w:type="dxa" w:w="860"/>
            <w:tcBorders>
              <w:top w:val="single" w:color="2E75B6" w:sz="1"/>
              <w:left w:val="single" w:color="2E75B6" w:sz="1"/>
              <w:bottom w:val="single" w:color="2E75B6" w:sz="1"/>
              <w:right w:val="single" w:color="2E75B6" w:sz="1"/>
            </w:tcBorders>
            <w:shd w:fill="BDD7EE" w:val="clear"/>
            <w:tcMar>
              <w:top w:type="dxa" w:w="80"/>
              <w:left w:type="dxa" w:w="100"/>
              <w:bottom w:type="dxa" w:w="80"/>
              <w:right w:type="dxa" w:w="100"/>
            </w:tcMar>
            <w:vAlign w:val="center"/>
          </w:tcPr>
          <w:p>
            <w:r>
              <w:rPr>
                <w:rFonts w:ascii="Arial" w:cs="Arial" w:eastAsia="Arial" w:hAnsi="Arial"/>
                <w:b/>
                <w:bCs/>
                <w:color w:val="1F4E79"/>
                <w:sz w:val="20"/>
                <w:szCs w:val="20"/>
              </w:rPr>
              <w:t xml:space="preserve">4×</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Glucosio</w:t>
            </w:r>
          </w:p>
        </w:tc>
        <w:tc>
          <w:tcPr>
            <w:tcW w:type="dxa" w:w="700"/>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44.0</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445.0</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22</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4.320</w:t>
            </w:r>
          </w:p>
        </w:tc>
        <w:tc>
          <w:tcPr>
            <w:tcW w:type="dxa" w:w="800"/>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82</w:t>
            </w:r>
          </w:p>
        </w:tc>
        <w:tc>
          <w:tcPr>
            <w:tcW w:type="dxa" w:w="860"/>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3</w:t>
            </w:r>
          </w:p>
        </w:tc>
      </w:tr>
      <w:tr>
        <w:tc>
          <w:tcPr>
            <w:tcW w:type="dxa" w:w="2200"/>
            <w:gridSpan w:val="1"/>
            <w:tcBorders>
              <w:top w:val="single" w:color="CCCCCC" w:sz="1"/>
              <w:left w:val="single" w:color="CCCCCC" w:sz="1"/>
              <w:bottom w:val="single" w:color="CCCCCC" w:sz="1"/>
              <w:right w:val="single" w:color="CCCCCC" w:sz="1"/>
            </w:tcBorders>
            <w:shd w:fill="F5F9FC"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HDL</w:t>
            </w:r>
          </w:p>
        </w:tc>
        <w:tc>
          <w:tcPr>
            <w:tcW w:type="dxa" w:w="700"/>
            <w:gridSpan w:val="1"/>
            <w:tcBorders>
              <w:top w:val="single" w:color="CCCCCC" w:sz="1"/>
              <w:left w:val="single" w:color="CCCCCC" w:sz="1"/>
              <w:bottom w:val="single" w:color="CCCCCC" w:sz="1"/>
              <w:right w:val="single" w:color="CCCCCC" w:sz="1"/>
            </w:tcBorders>
            <w:shd w:fill="F5F9FC"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13.0</w:t>
            </w:r>
          </w:p>
        </w:tc>
        <w:tc>
          <w:tcPr>
            <w:tcW w:type="dxa" w:w="900"/>
            <w:gridSpan w:val="1"/>
            <w:tcBorders>
              <w:top w:val="single" w:color="CCCCCC" w:sz="1"/>
              <w:left w:val="single" w:color="CCCCCC" w:sz="1"/>
              <w:bottom w:val="single" w:color="CCCCCC" w:sz="1"/>
              <w:right w:val="single" w:color="CCCCCC" w:sz="1"/>
            </w:tcBorders>
            <w:shd w:fill="F5F9FC"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148.0</w:t>
            </w:r>
          </w:p>
        </w:tc>
        <w:tc>
          <w:tcPr>
            <w:tcW w:type="dxa" w:w="900"/>
            <w:gridSpan w:val="1"/>
            <w:tcBorders>
              <w:top w:val="single" w:color="CCCCCC" w:sz="1"/>
              <w:left w:val="single" w:color="CCCCCC" w:sz="1"/>
              <w:bottom w:val="single" w:color="CCCCCC" w:sz="1"/>
              <w:right w:val="single" w:color="CCCCCC" w:sz="1"/>
            </w:tcBorders>
            <w:shd w:fill="F5F9FC"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1.178</w:t>
            </w:r>
          </w:p>
        </w:tc>
        <w:tc>
          <w:tcPr>
            <w:tcW w:type="dxa" w:w="900"/>
            <w:gridSpan w:val="1"/>
            <w:tcBorders>
              <w:top w:val="single" w:color="CCCCCC" w:sz="1"/>
              <w:left w:val="single" w:color="CCCCCC" w:sz="1"/>
              <w:bottom w:val="single" w:color="CCCCCC" w:sz="1"/>
              <w:right w:val="single" w:color="CCCCCC" w:sz="1"/>
            </w:tcBorders>
            <w:shd w:fill="F5F9FC"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w:t>
            </w:r>
          </w:p>
        </w:tc>
        <w:tc>
          <w:tcPr>
            <w:tcW w:type="dxa" w:w="800"/>
            <w:gridSpan w:val="1"/>
            <w:tcBorders>
              <w:top w:val="single" w:color="CCCCCC" w:sz="1"/>
              <w:left w:val="single" w:color="CCCCCC" w:sz="1"/>
              <w:bottom w:val="single" w:color="CCCCCC" w:sz="1"/>
              <w:right w:val="single" w:color="CCCCCC" w:sz="1"/>
            </w:tcBorders>
            <w:shd w:fill="F5F9FC"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w:t>
            </w:r>
          </w:p>
        </w:tc>
        <w:tc>
          <w:tcPr>
            <w:tcW w:type="dxa" w:w="860"/>
            <w:gridSpan w:val="1"/>
            <w:tcBorders>
              <w:top w:val="single" w:color="CCCCCC" w:sz="1"/>
              <w:left w:val="single" w:color="CCCCCC" w:sz="1"/>
              <w:bottom w:val="single" w:color="CCCCCC" w:sz="1"/>
              <w:right w:val="single" w:color="CCCCCC" w:sz="1"/>
            </w:tcBorders>
            <w:shd w:fill="F5F9FC"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LDL</w:t>
            </w:r>
          </w:p>
        </w:tc>
        <w:tc>
          <w:tcPr>
            <w:tcW w:type="dxa" w:w="700"/>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12.0</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290.0</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0</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5.885</w:t>
            </w:r>
          </w:p>
        </w:tc>
        <w:tc>
          <w:tcPr>
            <w:tcW w:type="dxa" w:w="800"/>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48</w:t>
            </w:r>
          </w:p>
        </w:tc>
        <w:tc>
          <w:tcPr>
            <w:tcW w:type="dxa" w:w="860"/>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0</w:t>
            </w:r>
          </w:p>
        </w:tc>
      </w:tr>
      <w:tr>
        <w:tc>
          <w:tcPr>
            <w:tcW w:type="dxa" w:w="2200"/>
            <w:gridSpan w:val="1"/>
            <w:tcBorders>
              <w:top w:val="single" w:color="CCCCCC" w:sz="1"/>
              <w:left w:val="single" w:color="CCCCCC" w:sz="1"/>
              <w:bottom w:val="single" w:color="CCCCCC" w:sz="1"/>
              <w:right w:val="single" w:color="CCCCCC" w:sz="1"/>
            </w:tcBorders>
            <w:shd w:fill="F5F9FC"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Colesterolo Totale</w:t>
            </w:r>
          </w:p>
        </w:tc>
        <w:tc>
          <w:tcPr>
            <w:tcW w:type="dxa" w:w="700"/>
            <w:gridSpan w:val="1"/>
            <w:tcBorders>
              <w:top w:val="single" w:color="CCCCCC" w:sz="1"/>
              <w:left w:val="single" w:color="CCCCCC" w:sz="1"/>
              <w:bottom w:val="single" w:color="CCCCCC" w:sz="1"/>
              <w:right w:val="single" w:color="CCCCCC" w:sz="1"/>
            </w:tcBorders>
            <w:shd w:fill="F5F9FC"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62.0</w:t>
            </w:r>
          </w:p>
        </w:tc>
        <w:tc>
          <w:tcPr>
            <w:tcW w:type="dxa" w:w="900"/>
            <w:gridSpan w:val="1"/>
            <w:tcBorders>
              <w:top w:val="single" w:color="CCCCCC" w:sz="1"/>
              <w:left w:val="single" w:color="CCCCCC" w:sz="1"/>
              <w:bottom w:val="single" w:color="CCCCCC" w:sz="1"/>
              <w:right w:val="single" w:color="CCCCCC" w:sz="1"/>
            </w:tcBorders>
            <w:shd w:fill="F5F9FC"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363.0</w:t>
            </w:r>
          </w:p>
        </w:tc>
        <w:tc>
          <w:tcPr>
            <w:tcW w:type="dxa" w:w="900"/>
            <w:gridSpan w:val="1"/>
            <w:tcBorders>
              <w:top w:val="single" w:color="CCCCCC" w:sz="1"/>
              <w:left w:val="single" w:color="CCCCCC" w:sz="1"/>
              <w:bottom w:val="single" w:color="CCCCCC" w:sz="1"/>
              <w:right w:val="single" w:color="CCCCCC" w:sz="1"/>
            </w:tcBorders>
            <w:shd w:fill="F5F9FC"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0</w:t>
            </w:r>
          </w:p>
        </w:tc>
        <w:tc>
          <w:tcPr>
            <w:tcW w:type="dxa" w:w="900"/>
            <w:gridSpan w:val="1"/>
            <w:tcBorders>
              <w:top w:val="single" w:color="CCCCCC" w:sz="1"/>
              <w:left w:val="single" w:color="CCCCCC" w:sz="1"/>
              <w:bottom w:val="single" w:color="CCCCCC" w:sz="1"/>
              <w:right w:val="single" w:color="CCCCCC" w:sz="1"/>
            </w:tcBorders>
            <w:shd w:fill="F5F9FC"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5.732</w:t>
            </w:r>
          </w:p>
        </w:tc>
        <w:tc>
          <w:tcPr>
            <w:tcW w:type="dxa" w:w="800"/>
            <w:gridSpan w:val="1"/>
            <w:tcBorders>
              <w:top w:val="single" w:color="CCCCCC" w:sz="1"/>
              <w:left w:val="single" w:color="CCCCCC" w:sz="1"/>
              <w:bottom w:val="single" w:color="CCCCCC" w:sz="1"/>
              <w:right w:val="single" w:color="CCCCCC" w:sz="1"/>
            </w:tcBorders>
            <w:shd w:fill="F5F9FC"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0</w:t>
            </w:r>
          </w:p>
        </w:tc>
        <w:tc>
          <w:tcPr>
            <w:tcW w:type="dxa" w:w="860"/>
            <w:gridSpan w:val="1"/>
            <w:tcBorders>
              <w:top w:val="single" w:color="CCCCCC" w:sz="1"/>
              <w:left w:val="single" w:color="CCCCCC" w:sz="1"/>
              <w:bottom w:val="single" w:color="CCCCCC" w:sz="1"/>
              <w:right w:val="single" w:color="CCCCCC" w:sz="1"/>
            </w:tcBorders>
            <w:shd w:fill="F5F9FC"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0</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Trigliceridi</w:t>
            </w:r>
          </w:p>
        </w:tc>
        <w:tc>
          <w:tcPr>
            <w:tcW w:type="dxa" w:w="700"/>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22.0</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1.725.0</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0</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1.726</w:t>
            </w:r>
          </w:p>
        </w:tc>
        <w:tc>
          <w:tcPr>
            <w:tcW w:type="dxa" w:w="800"/>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156</w:t>
            </w:r>
          </w:p>
        </w:tc>
        <w:tc>
          <w:tcPr>
            <w:tcW w:type="dxa" w:w="860"/>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20</w:t>
            </w:r>
          </w:p>
        </w:tc>
      </w:tr>
      <w:tr>
        <w:tc>
          <w:tcPr>
            <w:tcW w:type="dxa" w:w="2200"/>
            <w:gridSpan w:val="1"/>
            <w:tcBorders>
              <w:top w:val="single" w:color="CCCCCC" w:sz="1"/>
              <w:left w:val="single" w:color="CCCCCC" w:sz="1"/>
              <w:bottom w:val="single" w:color="CCCCCC" w:sz="1"/>
              <w:right w:val="single" w:color="CCCCCC" w:sz="1"/>
            </w:tcBorders>
            <w:shd w:fill="F5F9FC"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ALT (GPT)</w:t>
            </w:r>
          </w:p>
        </w:tc>
        <w:tc>
          <w:tcPr>
            <w:tcW w:type="dxa" w:w="700"/>
            <w:gridSpan w:val="1"/>
            <w:tcBorders>
              <w:top w:val="single" w:color="CCCCCC" w:sz="1"/>
              <w:left w:val="single" w:color="CCCCCC" w:sz="1"/>
              <w:bottom w:val="single" w:color="CCCCCC" w:sz="1"/>
              <w:right w:val="single" w:color="CCCCCC" w:sz="1"/>
            </w:tcBorders>
            <w:shd w:fill="F5F9FC"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4.0</w:t>
            </w:r>
          </w:p>
        </w:tc>
        <w:tc>
          <w:tcPr>
            <w:tcW w:type="dxa" w:w="900"/>
            <w:gridSpan w:val="1"/>
            <w:tcBorders>
              <w:top w:val="single" w:color="CCCCCC" w:sz="1"/>
              <w:left w:val="single" w:color="CCCCCC" w:sz="1"/>
              <w:bottom w:val="single" w:color="CCCCCC" w:sz="1"/>
              <w:right w:val="single" w:color="CCCCCC" w:sz="1"/>
            </w:tcBorders>
            <w:shd w:fill="F5F9FC"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206.0*</w:t>
            </w:r>
          </w:p>
        </w:tc>
        <w:tc>
          <w:tcPr>
            <w:tcW w:type="dxa" w:w="900"/>
            <w:gridSpan w:val="1"/>
            <w:tcBorders>
              <w:top w:val="single" w:color="CCCCCC" w:sz="1"/>
              <w:left w:val="single" w:color="CCCCCC" w:sz="1"/>
              <w:bottom w:val="single" w:color="CCCCCC" w:sz="1"/>
              <w:right w:val="single" w:color="CCCCCC" w:sz="1"/>
            </w:tcBorders>
            <w:shd w:fill="F5F9FC"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0</w:t>
            </w:r>
          </w:p>
        </w:tc>
        <w:tc>
          <w:tcPr>
            <w:tcW w:type="dxa" w:w="900"/>
            <w:gridSpan w:val="1"/>
            <w:tcBorders>
              <w:top w:val="single" w:color="CCCCCC" w:sz="1"/>
              <w:left w:val="single" w:color="CCCCCC" w:sz="1"/>
              <w:bottom w:val="single" w:color="CCCCCC" w:sz="1"/>
              <w:right w:val="single" w:color="CCCCCC" w:sz="1"/>
            </w:tcBorders>
            <w:shd w:fill="F5F9FC"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366</w:t>
            </w:r>
          </w:p>
        </w:tc>
        <w:tc>
          <w:tcPr>
            <w:tcW w:type="dxa" w:w="800"/>
            <w:gridSpan w:val="1"/>
            <w:tcBorders>
              <w:top w:val="single" w:color="CCCCCC" w:sz="1"/>
              <w:left w:val="single" w:color="CCCCCC" w:sz="1"/>
              <w:bottom w:val="single" w:color="CCCCCC" w:sz="1"/>
              <w:right w:val="single" w:color="CCCCCC" w:sz="1"/>
            </w:tcBorders>
            <w:shd w:fill="F5F9FC"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36</w:t>
            </w:r>
          </w:p>
        </w:tc>
        <w:tc>
          <w:tcPr>
            <w:tcW w:type="dxa" w:w="860"/>
            <w:gridSpan w:val="1"/>
            <w:tcBorders>
              <w:top w:val="single" w:color="CCCCCC" w:sz="1"/>
              <w:left w:val="single" w:color="CCCCCC" w:sz="1"/>
              <w:bottom w:val="single" w:color="CCCCCC" w:sz="1"/>
              <w:right w:val="single" w:color="CCCCCC" w:sz="1"/>
            </w:tcBorders>
            <w:shd w:fill="F5F9FC"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0</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AST (GOT)</w:t>
            </w:r>
          </w:p>
        </w:tc>
        <w:tc>
          <w:tcPr>
            <w:tcW w:type="dxa" w:w="700"/>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8.0</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134.0*</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0</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759</w:t>
            </w:r>
          </w:p>
        </w:tc>
        <w:tc>
          <w:tcPr>
            <w:tcW w:type="dxa" w:w="800"/>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68</w:t>
            </w:r>
          </w:p>
        </w:tc>
        <w:tc>
          <w:tcPr>
            <w:tcW w:type="dxa" w:w="860"/>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0</w:t>
            </w:r>
          </w:p>
        </w:tc>
      </w:tr>
      <w:tr>
        <w:tc>
          <w:tcPr>
            <w:tcW w:type="dxa" w:w="2200"/>
            <w:gridSpan w:val="1"/>
            <w:tcBorders>
              <w:top w:val="single" w:color="CCCCCC" w:sz="1"/>
              <w:left w:val="single" w:color="CCCCCC" w:sz="1"/>
              <w:bottom w:val="single" w:color="CCCCCC" w:sz="1"/>
              <w:right w:val="single" w:color="CCCCCC" w:sz="1"/>
            </w:tcBorders>
            <w:shd w:fill="F5F9FC"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Linfociti</w:t>
            </w:r>
          </w:p>
        </w:tc>
        <w:tc>
          <w:tcPr>
            <w:tcW w:type="dxa" w:w="700"/>
            <w:gridSpan w:val="1"/>
            <w:tcBorders>
              <w:top w:val="single" w:color="CCCCCC" w:sz="1"/>
              <w:left w:val="single" w:color="CCCCCC" w:sz="1"/>
              <w:bottom w:val="single" w:color="CCCCCC" w:sz="1"/>
              <w:right w:val="single" w:color="CCCCCC" w:sz="1"/>
            </w:tcBorders>
            <w:shd w:fill="F5F9FC"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0.3</w:t>
            </w:r>
          </w:p>
        </w:tc>
        <w:tc>
          <w:tcPr>
            <w:tcW w:type="dxa" w:w="900"/>
            <w:gridSpan w:val="1"/>
            <w:tcBorders>
              <w:top w:val="single" w:color="CCCCCC" w:sz="1"/>
              <w:left w:val="single" w:color="CCCCCC" w:sz="1"/>
              <w:bottom w:val="single" w:color="CCCCCC" w:sz="1"/>
              <w:right w:val="single" w:color="CCCCCC" w:sz="1"/>
            </w:tcBorders>
            <w:shd w:fill="F5F9FC"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15.2*</w:t>
            </w:r>
          </w:p>
        </w:tc>
        <w:tc>
          <w:tcPr>
            <w:tcW w:type="dxa" w:w="900"/>
            <w:gridSpan w:val="1"/>
            <w:tcBorders>
              <w:top w:val="single" w:color="CCCCCC" w:sz="1"/>
              <w:left w:val="single" w:color="CCCCCC" w:sz="1"/>
              <w:bottom w:val="single" w:color="CCCCCC" w:sz="1"/>
              <w:right w:val="single" w:color="CCCCCC" w:sz="1"/>
            </w:tcBorders>
            <w:shd w:fill="F5F9FC"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316</w:t>
            </w:r>
          </w:p>
        </w:tc>
        <w:tc>
          <w:tcPr>
            <w:tcW w:type="dxa" w:w="900"/>
            <w:gridSpan w:val="1"/>
            <w:tcBorders>
              <w:top w:val="single" w:color="CCCCCC" w:sz="1"/>
              <w:left w:val="single" w:color="CCCCCC" w:sz="1"/>
              <w:bottom w:val="single" w:color="CCCCCC" w:sz="1"/>
              <w:right w:val="single" w:color="CCCCCC" w:sz="1"/>
            </w:tcBorders>
            <w:shd w:fill="F5F9FC"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163</w:t>
            </w:r>
          </w:p>
        </w:tc>
        <w:tc>
          <w:tcPr>
            <w:tcW w:type="dxa" w:w="800"/>
            <w:gridSpan w:val="1"/>
            <w:tcBorders>
              <w:top w:val="single" w:color="CCCCCC" w:sz="1"/>
              <w:left w:val="single" w:color="CCCCCC" w:sz="1"/>
              <w:bottom w:val="single" w:color="CCCCCC" w:sz="1"/>
              <w:right w:val="single" w:color="CCCCCC" w:sz="1"/>
            </w:tcBorders>
            <w:shd w:fill="F5F9FC"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3</w:t>
            </w:r>
          </w:p>
        </w:tc>
        <w:tc>
          <w:tcPr>
            <w:tcW w:type="dxa" w:w="860"/>
            <w:gridSpan w:val="1"/>
            <w:tcBorders>
              <w:top w:val="single" w:color="CCCCCC" w:sz="1"/>
              <w:left w:val="single" w:color="CCCCCC" w:sz="1"/>
              <w:bottom w:val="single" w:color="CCCCCC" w:sz="1"/>
              <w:right w:val="single" w:color="CCCCCC" w:sz="1"/>
            </w:tcBorders>
            <w:shd w:fill="F5F9FC"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0</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Neutrofili</w:t>
            </w:r>
          </w:p>
        </w:tc>
        <w:tc>
          <w:tcPr>
            <w:tcW w:type="dxa" w:w="700"/>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0.4</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20.7</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510</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91</w:t>
            </w:r>
          </w:p>
        </w:tc>
        <w:tc>
          <w:tcPr>
            <w:tcW w:type="dxa" w:w="800"/>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4</w:t>
            </w:r>
          </w:p>
        </w:tc>
        <w:tc>
          <w:tcPr>
            <w:tcW w:type="dxa" w:w="860"/>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0</w:t>
            </w:r>
          </w:p>
        </w:tc>
      </w:tr>
      <w:tr>
        <w:tc>
          <w:tcPr>
            <w:tcW w:type="dxa" w:w="2200"/>
            <w:gridSpan w:val="1"/>
            <w:tcBorders>
              <w:top w:val="single" w:color="CCCCCC" w:sz="1"/>
              <w:left w:val="single" w:color="CCCCCC" w:sz="1"/>
              <w:bottom w:val="single" w:color="CCCCCC" w:sz="1"/>
              <w:right w:val="single" w:color="CCCCCC" w:sz="1"/>
            </w:tcBorders>
            <w:shd w:fill="F5F9FC"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Piastrine</w:t>
            </w:r>
          </w:p>
        </w:tc>
        <w:tc>
          <w:tcPr>
            <w:tcW w:type="dxa" w:w="700"/>
            <w:gridSpan w:val="1"/>
            <w:tcBorders>
              <w:top w:val="single" w:color="CCCCCC" w:sz="1"/>
              <w:left w:val="single" w:color="CCCCCC" w:sz="1"/>
              <w:bottom w:val="single" w:color="CCCCCC" w:sz="1"/>
              <w:right w:val="single" w:color="CCCCCC" w:sz="1"/>
            </w:tcBorders>
            <w:shd w:fill="F5F9FC"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8.0</w:t>
            </w:r>
          </w:p>
        </w:tc>
        <w:tc>
          <w:tcPr>
            <w:tcW w:type="dxa" w:w="900"/>
            <w:gridSpan w:val="1"/>
            <w:tcBorders>
              <w:top w:val="single" w:color="CCCCCC" w:sz="1"/>
              <w:left w:val="single" w:color="CCCCCC" w:sz="1"/>
              <w:bottom w:val="single" w:color="CCCCCC" w:sz="1"/>
              <w:right w:val="single" w:color="CCCCCC" w:sz="1"/>
            </w:tcBorders>
            <w:shd w:fill="F5F9FC"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757.0</w:t>
            </w:r>
          </w:p>
        </w:tc>
        <w:tc>
          <w:tcPr>
            <w:tcW w:type="dxa" w:w="900"/>
            <w:gridSpan w:val="1"/>
            <w:tcBorders>
              <w:top w:val="single" w:color="CCCCCC" w:sz="1"/>
              <w:left w:val="single" w:color="CCCCCC" w:sz="1"/>
              <w:bottom w:val="single" w:color="CCCCCC" w:sz="1"/>
              <w:right w:val="single" w:color="CCCCCC" w:sz="1"/>
            </w:tcBorders>
            <w:shd w:fill="F5F9FC"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370</w:t>
            </w:r>
          </w:p>
        </w:tc>
        <w:tc>
          <w:tcPr>
            <w:tcW w:type="dxa" w:w="900"/>
            <w:gridSpan w:val="1"/>
            <w:tcBorders>
              <w:top w:val="single" w:color="CCCCCC" w:sz="1"/>
              <w:left w:val="single" w:color="CCCCCC" w:sz="1"/>
              <w:bottom w:val="single" w:color="CCCCCC" w:sz="1"/>
              <w:right w:val="single" w:color="CCCCCC" w:sz="1"/>
            </w:tcBorders>
            <w:shd w:fill="F5F9FC"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84</w:t>
            </w:r>
          </w:p>
        </w:tc>
        <w:tc>
          <w:tcPr>
            <w:tcW w:type="dxa" w:w="800"/>
            <w:gridSpan w:val="1"/>
            <w:tcBorders>
              <w:top w:val="single" w:color="CCCCCC" w:sz="1"/>
              <w:left w:val="single" w:color="CCCCCC" w:sz="1"/>
              <w:bottom w:val="single" w:color="CCCCCC" w:sz="1"/>
              <w:right w:val="single" w:color="CCCCCC" w:sz="1"/>
            </w:tcBorders>
            <w:shd w:fill="F5F9FC"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0</w:t>
            </w:r>
          </w:p>
        </w:tc>
        <w:tc>
          <w:tcPr>
            <w:tcW w:type="dxa" w:w="860"/>
            <w:gridSpan w:val="1"/>
            <w:tcBorders>
              <w:top w:val="single" w:color="CCCCCC" w:sz="1"/>
              <w:left w:val="single" w:color="CCCCCC" w:sz="1"/>
              <w:bottom w:val="single" w:color="CCCCCC" w:sz="1"/>
              <w:right w:val="single" w:color="CCCCCC" w:sz="1"/>
            </w:tcBorders>
            <w:shd w:fill="F5F9FC"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0</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RDW-CV</w:t>
            </w:r>
          </w:p>
        </w:tc>
        <w:tc>
          <w:tcPr>
            <w:tcW w:type="dxa" w:w="700"/>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11.1</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26.5</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0</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99</w:t>
            </w:r>
          </w:p>
        </w:tc>
        <w:tc>
          <w:tcPr>
            <w:tcW w:type="dxa" w:w="800"/>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0</w:t>
            </w:r>
          </w:p>
        </w:tc>
        <w:tc>
          <w:tcPr>
            <w:tcW w:type="dxa" w:w="860"/>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0</w:t>
            </w:r>
          </w:p>
        </w:tc>
      </w:tr>
      <w:tr>
        <w:tc>
          <w:tcPr>
            <w:tcW w:type="dxa" w:w="2200"/>
            <w:gridSpan w:val="1"/>
            <w:tcBorders>
              <w:top w:val="single" w:color="CCCCCC" w:sz="1"/>
              <w:left w:val="single" w:color="CCCCCC" w:sz="1"/>
              <w:bottom w:val="single" w:color="CCCCCC" w:sz="1"/>
              <w:right w:val="single" w:color="CCCCCC" w:sz="1"/>
            </w:tcBorders>
            <w:shd w:fill="F5F9FC"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Creatinina</w:t>
            </w:r>
          </w:p>
        </w:tc>
        <w:tc>
          <w:tcPr>
            <w:tcW w:type="dxa" w:w="700"/>
            <w:gridSpan w:val="1"/>
            <w:tcBorders>
              <w:top w:val="single" w:color="CCCCCC" w:sz="1"/>
              <w:left w:val="single" w:color="CCCCCC" w:sz="1"/>
              <w:bottom w:val="single" w:color="CCCCCC" w:sz="1"/>
              <w:right w:val="single" w:color="CCCCCC" w:sz="1"/>
            </w:tcBorders>
            <w:shd w:fill="F5F9FC"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0.2</w:t>
            </w:r>
          </w:p>
        </w:tc>
        <w:tc>
          <w:tcPr>
            <w:tcW w:type="dxa" w:w="900"/>
            <w:gridSpan w:val="1"/>
            <w:tcBorders>
              <w:top w:val="single" w:color="CCCCCC" w:sz="1"/>
              <w:left w:val="single" w:color="CCCCCC" w:sz="1"/>
              <w:bottom w:val="single" w:color="CCCCCC" w:sz="1"/>
              <w:right w:val="single" w:color="CCCCCC" w:sz="1"/>
            </w:tcBorders>
            <w:shd w:fill="F5F9FC"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4.7*</w:t>
            </w:r>
          </w:p>
        </w:tc>
        <w:tc>
          <w:tcPr>
            <w:tcW w:type="dxa" w:w="900"/>
            <w:gridSpan w:val="1"/>
            <w:tcBorders>
              <w:top w:val="single" w:color="CCCCCC" w:sz="1"/>
              <w:left w:val="single" w:color="CCCCCC" w:sz="1"/>
              <w:bottom w:val="single" w:color="CCCCCC" w:sz="1"/>
              <w:right w:val="single" w:color="CCCCCC" w:sz="1"/>
            </w:tcBorders>
            <w:shd w:fill="F5F9FC"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239</w:t>
            </w:r>
          </w:p>
        </w:tc>
        <w:tc>
          <w:tcPr>
            <w:tcW w:type="dxa" w:w="900"/>
            <w:gridSpan w:val="1"/>
            <w:tcBorders>
              <w:top w:val="single" w:color="CCCCCC" w:sz="1"/>
              <w:left w:val="single" w:color="CCCCCC" w:sz="1"/>
              <w:bottom w:val="single" w:color="CCCCCC" w:sz="1"/>
              <w:right w:val="single" w:color="CCCCCC" w:sz="1"/>
            </w:tcBorders>
            <w:shd w:fill="F5F9FC"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641</w:t>
            </w:r>
          </w:p>
        </w:tc>
        <w:tc>
          <w:tcPr>
            <w:tcW w:type="dxa" w:w="800"/>
            <w:gridSpan w:val="1"/>
            <w:tcBorders>
              <w:top w:val="single" w:color="CCCCCC" w:sz="1"/>
              <w:left w:val="single" w:color="CCCCCC" w:sz="1"/>
              <w:bottom w:val="single" w:color="CCCCCC" w:sz="1"/>
              <w:right w:val="single" w:color="CCCCCC" w:sz="1"/>
            </w:tcBorders>
            <w:shd w:fill="F5F9FC"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31</w:t>
            </w:r>
          </w:p>
        </w:tc>
        <w:tc>
          <w:tcPr>
            <w:tcW w:type="dxa" w:w="860"/>
            <w:gridSpan w:val="1"/>
            <w:tcBorders>
              <w:top w:val="single" w:color="CCCCCC" w:sz="1"/>
              <w:left w:val="single" w:color="CCCCCC" w:sz="1"/>
              <w:bottom w:val="single" w:color="CCCCCC" w:sz="1"/>
              <w:right w:val="single" w:color="CCCCCC" w:sz="1"/>
            </w:tcBorders>
            <w:shd w:fill="F5F9FC"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0</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Urea</w:t>
            </w:r>
          </w:p>
        </w:tc>
        <w:tc>
          <w:tcPr>
            <w:tcW w:type="dxa" w:w="700"/>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9.0</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200.0*</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207</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1.230</w:t>
            </w:r>
          </w:p>
        </w:tc>
        <w:tc>
          <w:tcPr>
            <w:tcW w:type="dxa" w:w="800"/>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61</w:t>
            </w:r>
          </w:p>
        </w:tc>
        <w:tc>
          <w:tcPr>
            <w:tcW w:type="dxa" w:w="860"/>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0</w:t>
            </w:r>
          </w:p>
        </w:tc>
      </w:tr>
    </w:tbl>
    <w:p>
      <w:pPr>
        <w:spacing w:after="120" w:before="0"/>
        <w:jc w:val="left"/>
      </w:pPr>
      <w:r>
        <w:rPr>
          <w:rFonts w:ascii="Arial" w:cs="Arial" w:eastAsia="Arial" w:hAnsi="Arial"/>
          <w:b w:val="false"/>
          <w:bCs w:val="false"/>
          <w:color w:val="555555"/>
          <w:sz w:val="18"/>
          <w:szCs w:val="18"/>
        </w:rPr>
        <w:t xml:space="preserve">* Valore massimo post-cleaning (rimozione soglia ULN×4 applicata nel notebook).</w:t>
      </w:r>
    </w:p>
    <w:p>
      <w:pPr>
        <w:spacing w:after="0" w:before="0"/>
      </w:pPr>
      <w:r>
        <w:t xml:space="preserve"/>
      </w:r>
    </w:p>
    <w:p>
      <w:pPr>
        <w:pStyle w:val="Heading1"/>
        <w:spacing w:after="180" w:before="360"/>
      </w:pPr>
      <w:r>
        <w:rPr>
          <w:rFonts w:ascii="Arial" w:cs="Arial" w:eastAsia="Arial" w:hAnsi="Arial"/>
          <w:b/>
          <w:bCs/>
          <w:color w:val="1F4E79"/>
          <w:sz w:val="32"/>
          <w:szCs w:val="32"/>
        </w:rPr>
        <w:t xml:space="preserve">7. Anomalia Sistematica — Rapporto Urea/Creatinina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2"/>
              <w:bottom w:val="single" w:color="C55A11" w:sz="1"/>
              <w:right w:val="single" w:color="C55A11" w:sz="1"/>
            </w:tcBorders>
            <w:shd w:fill="FCE4D6" w:val="clear"/>
            <w:tcMar>
              <w:top w:type="dxa" w:w="100"/>
              <w:left w:type="dxa" w:w="180"/>
              <w:bottom w:type="dxa" w:w="100"/>
              <w:right w:type="dxa" w:w="180"/>
            </w:tcMar>
          </w:tcPr>
          <w:p>
            <w:pPr>
              <w:spacing w:after="60" w:before="0"/>
            </w:pPr>
            <w:r>
              <w:rPr>
                <w:rFonts w:ascii="Arial" w:cs="Arial" w:eastAsia="Arial" w:hAnsi="Arial"/>
                <w:b/>
                <w:bCs/>
                <w:sz w:val="22"/>
                <w:szCs w:val="22"/>
              </w:rPr>
              <w:t xml:space="preserve">ANOMALIA SISTEMATICA — Urea/Creatinina anomalo nel 99.8% del campione</w:t>
            </w:r>
          </w:p>
          <w:p>
            <w:pPr>
              <w:spacing w:after="40" w:before="0"/>
            </w:pPr>
            <w:r>
              <w:rPr>
                <w:rFonts w:ascii="Arial" w:cs="Arial" w:eastAsia="Arial" w:hAnsi="Arial"/>
                <w:sz w:val="20"/>
                <w:szCs w:val="20"/>
              </w:rPr>
              <w:t xml:space="preserve">Il rapporto Urea/Creatinina risulta superiore a 20 nel 99.8% del campione.</w:t>
            </w:r>
          </w:p>
          <w:p>
            <w:pPr>
              <w:spacing w:after="40" w:before="0"/>
            </w:pPr>
            <w:r>
              <w:rPr>
                <w:rFonts w:ascii="Arial" w:cs="Arial" w:eastAsia="Arial" w:hAnsi="Arial"/>
                <w:sz w:val="20"/>
                <w:szCs w:val="20"/>
              </w:rPr>
              <w:t xml:space="preserve">Range atteso dalla letteratura: 10–20. Mediana osservata: 42.5.</w:t>
            </w:r>
          </w:p>
          <w:p>
            <w:pPr>
              <w:spacing w:after="40" w:before="0"/>
            </w:pPr>
            <w:r>
              <w:rPr>
                <w:rFonts w:ascii="Arial" w:cs="Arial" w:eastAsia="Arial" w:hAnsi="Arial"/>
                <w:sz w:val="20"/>
                <w:szCs w:val="20"/>
              </w:rPr>
              <w:t xml:space="preserve">Questo pattern è incompatibile con un’anomalia biologica casuale: suggerisce un problema strutturale (errore di unità di misura) piuttosto che biologico.</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c>
          <w:tcPr>
            <w:tcW w:type="dxa" w:w="3200"/>
            <w:tcBorders>
              <w:top w:val="single" w:color="2E75B6" w:sz="1"/>
              <w:left w:val="single" w:color="2E75B6" w:sz="1"/>
              <w:bottom w:val="single" w:color="2E75B6" w:sz="1"/>
              <w:right w:val="single" w:color="2E75B6" w:sz="1"/>
            </w:tcBorders>
            <w:shd w:fill="BDD7EE" w:val="clear"/>
            <w:tcMar>
              <w:top w:type="dxa" w:w="80"/>
              <w:left w:type="dxa" w:w="100"/>
              <w:bottom w:type="dxa" w:w="80"/>
              <w:right w:type="dxa" w:w="100"/>
            </w:tcMar>
            <w:vAlign w:val="center"/>
          </w:tcPr>
          <w:p>
            <w:r>
              <w:rPr>
                <w:rFonts w:ascii="Arial" w:cs="Arial" w:eastAsia="Arial" w:hAnsi="Arial"/>
                <w:b/>
                <w:bCs/>
                <w:color w:val="1F4E79"/>
                <w:sz w:val="20"/>
                <w:szCs w:val="20"/>
              </w:rPr>
              <w:t xml:space="preserve">Statistica</w:t>
            </w:r>
          </w:p>
        </w:tc>
        <w:tc>
          <w:tcPr>
            <w:tcW w:type="dxa" w:w="2400"/>
            <w:tcBorders>
              <w:top w:val="single" w:color="2E75B6" w:sz="1"/>
              <w:left w:val="single" w:color="2E75B6" w:sz="1"/>
              <w:bottom w:val="single" w:color="2E75B6" w:sz="1"/>
              <w:right w:val="single" w:color="2E75B6" w:sz="1"/>
            </w:tcBorders>
            <w:shd w:fill="BDD7EE" w:val="clear"/>
            <w:tcMar>
              <w:top w:type="dxa" w:w="80"/>
              <w:left w:type="dxa" w:w="100"/>
              <w:bottom w:type="dxa" w:w="80"/>
              <w:right w:type="dxa" w:w="100"/>
            </w:tcMar>
            <w:vAlign w:val="center"/>
          </w:tcPr>
          <w:p>
            <w:r>
              <w:rPr>
                <w:rFonts w:ascii="Arial" w:cs="Arial" w:eastAsia="Arial" w:hAnsi="Arial"/>
                <w:b/>
                <w:bCs/>
                <w:color w:val="1F4E79"/>
                <w:sz w:val="20"/>
                <w:szCs w:val="20"/>
              </w:rPr>
              <w:t xml:space="preserve">Valore osservato</w:t>
            </w:r>
          </w:p>
        </w:tc>
        <w:tc>
          <w:tcPr>
            <w:tcW w:type="dxa" w:w="3760"/>
            <w:tcBorders>
              <w:top w:val="single" w:color="2E75B6" w:sz="1"/>
              <w:left w:val="single" w:color="2E75B6" w:sz="1"/>
              <w:bottom w:val="single" w:color="2E75B6" w:sz="1"/>
              <w:right w:val="single" w:color="2E75B6" w:sz="1"/>
            </w:tcBorders>
            <w:shd w:fill="BDD7EE" w:val="clear"/>
            <w:tcMar>
              <w:top w:type="dxa" w:w="80"/>
              <w:left w:type="dxa" w:w="100"/>
              <w:bottom w:type="dxa" w:w="80"/>
              <w:right w:type="dxa" w:w="100"/>
            </w:tcMar>
            <w:vAlign w:val="center"/>
          </w:tcPr>
          <w:p>
            <w:r>
              <w:rPr>
                <w:rFonts w:ascii="Arial" w:cs="Arial" w:eastAsia="Arial" w:hAnsi="Arial"/>
                <w:b/>
                <w:bCs/>
                <w:color w:val="1F4E79"/>
                <w:sz w:val="20"/>
                <w:szCs w:val="20"/>
              </w:rPr>
              <w:t xml:space="preserve">Range atteso</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Mediana Urea/Creatinina</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42.5</w:t>
            </w:r>
          </w:p>
        </w:tc>
        <w:tc>
          <w:tcPr>
            <w:tcW w:type="dxa" w:w="3760"/>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10–20</w:t>
            </w:r>
          </w:p>
        </w:tc>
      </w:tr>
      <w:tr>
        <w:tc>
          <w:tcPr>
            <w:tcW w:type="dxa" w:w="3200"/>
            <w:gridSpan w:val="1"/>
            <w:tcBorders>
              <w:top w:val="single" w:color="CCCCCC" w:sz="1"/>
              <w:left w:val="single" w:color="CCCCCC" w:sz="1"/>
              <w:bottom w:val="single" w:color="CCCCCC" w:sz="1"/>
              <w:right w:val="single" w:color="CCCCCC" w:sz="1"/>
            </w:tcBorders>
            <w:shd w:fill="F5F9FC"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Q1 — Q3</w:t>
            </w:r>
          </w:p>
        </w:tc>
        <w:tc>
          <w:tcPr>
            <w:tcW w:type="dxa" w:w="2400"/>
            <w:gridSpan w:val="1"/>
            <w:tcBorders>
              <w:top w:val="single" w:color="CCCCCC" w:sz="1"/>
              <w:left w:val="single" w:color="CCCCCC" w:sz="1"/>
              <w:bottom w:val="single" w:color="CCCCCC" w:sz="1"/>
              <w:right w:val="single" w:color="CCCCCC" w:sz="1"/>
            </w:tcBorders>
            <w:shd w:fill="F5F9FC"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35.6 — 51.0</w:t>
            </w:r>
          </w:p>
        </w:tc>
        <w:tc>
          <w:tcPr>
            <w:tcW w:type="dxa" w:w="3760"/>
            <w:gridSpan w:val="1"/>
            <w:tcBorders>
              <w:top w:val="single" w:color="CCCCCC" w:sz="1"/>
              <w:left w:val="single" w:color="CCCCCC" w:sz="1"/>
              <w:bottom w:val="single" w:color="CCCCCC" w:sz="1"/>
              <w:right w:val="single" w:color="CCCCCC" w:sz="1"/>
            </w:tcBorders>
            <w:shd w:fill="F5F9FC"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10–20</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Pazienti con rapporto &gt; 20</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11.881 (99.8%)</w:t>
            </w:r>
          </w:p>
        </w:tc>
        <w:tc>
          <w:tcPr>
            <w:tcW w:type="dxa" w:w="3760"/>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&lt; 10%</w:t>
            </w:r>
          </w:p>
        </w:tc>
      </w:tr>
      <w:tr>
        <w:tc>
          <w:tcPr>
            <w:tcW w:type="dxa" w:w="3200"/>
            <w:gridSpan w:val="1"/>
            <w:tcBorders>
              <w:top w:val="single" w:color="CCCCCC" w:sz="1"/>
              <w:left w:val="single" w:color="CCCCCC" w:sz="1"/>
              <w:bottom w:val="single" w:color="CCCCCC" w:sz="1"/>
              <w:right w:val="single" w:color="CCCCCC" w:sz="1"/>
            </w:tcBorders>
            <w:shd w:fill="F5F9FC"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Pazienti con rapporto 10–20</w:t>
            </w:r>
          </w:p>
        </w:tc>
        <w:tc>
          <w:tcPr>
            <w:tcW w:type="dxa" w:w="2400"/>
            <w:gridSpan w:val="1"/>
            <w:tcBorders>
              <w:top w:val="single" w:color="CCCCCC" w:sz="1"/>
              <w:left w:val="single" w:color="CCCCCC" w:sz="1"/>
              <w:bottom w:val="single" w:color="CCCCCC" w:sz="1"/>
              <w:right w:val="single" w:color="CCCCCC" w:sz="1"/>
            </w:tcBorders>
            <w:shd w:fill="F5F9FC"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23 (0.2%)</w:t>
            </w:r>
          </w:p>
        </w:tc>
        <w:tc>
          <w:tcPr>
            <w:tcW w:type="dxa" w:w="3760"/>
            <w:gridSpan w:val="1"/>
            <w:tcBorders>
              <w:top w:val="single" w:color="CCCCCC" w:sz="1"/>
              <w:left w:val="single" w:color="CCCCCC" w:sz="1"/>
              <w:bottom w:val="single" w:color="CCCCCC" w:sz="1"/>
              <w:right w:val="single" w:color="CCCCCC" w:sz="1"/>
            </w:tcBorders>
            <w:shd w:fill="F5F9FC"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~80–90%</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6760"/>
      </w:tblGrid>
      <w:tr>
        <w:tc>
          <w:tcPr>
            <w:tcW w:type="dxa" w:w="400"/>
            <w:tcBorders>
              <w:top w:val="single" w:color="2E75B6" w:sz="1"/>
              <w:left w:val="single" w:color="2E75B6" w:sz="1"/>
              <w:bottom w:val="single" w:color="2E75B6" w:sz="1"/>
              <w:right w:val="single" w:color="2E75B6" w:sz="1"/>
            </w:tcBorders>
            <w:shd w:fill="BDD7EE" w:val="clear"/>
            <w:tcMar>
              <w:top w:type="dxa" w:w="80"/>
              <w:left w:type="dxa" w:w="100"/>
              <w:bottom w:type="dxa" w:w="80"/>
              <w:right w:type="dxa" w:w="100"/>
            </w:tcMar>
            <w:vAlign w:val="center"/>
          </w:tcPr>
          <w:p>
            <w:r>
              <w:rPr>
                <w:rFonts w:ascii="Arial" w:cs="Arial" w:eastAsia="Arial" w:hAnsi="Arial"/>
                <w:b/>
                <w:bCs/>
                <w:color w:val="1F4E79"/>
                <w:sz w:val="20"/>
                <w:szCs w:val="20"/>
              </w:rPr>
              <w:t xml:space="preserve">#</w:t>
            </w:r>
          </w:p>
        </w:tc>
        <w:tc>
          <w:tcPr>
            <w:tcW w:type="dxa" w:w="2200"/>
            <w:tcBorders>
              <w:top w:val="single" w:color="2E75B6" w:sz="1"/>
              <w:left w:val="single" w:color="2E75B6" w:sz="1"/>
              <w:bottom w:val="single" w:color="2E75B6" w:sz="1"/>
              <w:right w:val="single" w:color="2E75B6" w:sz="1"/>
            </w:tcBorders>
            <w:shd w:fill="BDD7EE" w:val="clear"/>
            <w:tcMar>
              <w:top w:type="dxa" w:w="80"/>
              <w:left w:type="dxa" w:w="100"/>
              <w:bottom w:type="dxa" w:w="80"/>
              <w:right w:type="dxa" w:w="100"/>
            </w:tcMar>
            <w:vAlign w:val="center"/>
          </w:tcPr>
          <w:p>
            <w:r>
              <w:rPr>
                <w:rFonts w:ascii="Arial" w:cs="Arial" w:eastAsia="Arial" w:hAnsi="Arial"/>
                <w:b/>
                <w:bCs/>
                <w:color w:val="1F4E79"/>
                <w:sz w:val="20"/>
                <w:szCs w:val="20"/>
              </w:rPr>
              <w:t xml:space="preserve">Ipotesi</w:t>
            </w:r>
          </w:p>
        </w:tc>
        <w:tc>
          <w:tcPr>
            <w:tcW w:type="dxa" w:w="6760"/>
            <w:tcBorders>
              <w:top w:val="single" w:color="2E75B6" w:sz="1"/>
              <w:left w:val="single" w:color="2E75B6" w:sz="1"/>
              <w:bottom w:val="single" w:color="2E75B6" w:sz="1"/>
              <w:right w:val="single" w:color="2E75B6" w:sz="1"/>
            </w:tcBorders>
            <w:shd w:fill="BDD7EE" w:val="clear"/>
            <w:tcMar>
              <w:top w:type="dxa" w:w="80"/>
              <w:left w:type="dxa" w:w="100"/>
              <w:bottom w:type="dxa" w:w="80"/>
              <w:right w:type="dxa" w:w="100"/>
            </w:tcMar>
            <w:vAlign w:val="center"/>
          </w:tcPr>
          <w:p>
            <w:r>
              <w:rPr>
                <w:rFonts w:ascii="Arial" w:cs="Arial" w:eastAsia="Arial" w:hAnsi="Arial"/>
                <w:b/>
                <w:bCs/>
                <w:color w:val="1F4E79"/>
                <w:sz w:val="20"/>
                <w:szCs w:val="20"/>
              </w:rPr>
              <w:t xml:space="preserve">Spiegazione</w:t>
            </w:r>
          </w:p>
        </w:tc>
      </w:tr>
      <w:tr>
        <w:tc>
          <w:tcPr>
            <w:tcW w:type="dxa" w:w="400"/>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A</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Errore di scala / unità di misura (PROBABILE)</w:t>
            </w:r>
          </w:p>
        </w:tc>
        <w:tc>
          <w:tcPr>
            <w:tcW w:type="dxa" w:w="6760"/>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L’urea potrebbe essere refertata come urea totale invece di BUN. Il fattore di conversione BUN-a-urea totale è 2.14: applicando la formula con urea totale il rapporto risulterebbe circa doppio del previsto, portando la mediana nell’intervallo atteso (~20).</w:t>
            </w:r>
          </w:p>
        </w:tc>
      </w:tr>
      <w:tr>
        <w:tc>
          <w:tcPr>
            <w:tcW w:type="dxa" w:w="400"/>
            <w:gridSpan w:val="1"/>
            <w:tcBorders>
              <w:top w:val="single" w:color="CCCCCC" w:sz="1"/>
              <w:left w:val="single" w:color="CCCCCC" w:sz="1"/>
              <w:bottom w:val="single" w:color="CCCCCC" w:sz="1"/>
              <w:right w:val="single" w:color="CCCCCC" w:sz="1"/>
            </w:tcBorders>
            <w:shd w:fill="F5F9FC"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B</w:t>
            </w:r>
          </w:p>
        </w:tc>
        <w:tc>
          <w:tcPr>
            <w:tcW w:type="dxa" w:w="2200"/>
            <w:gridSpan w:val="1"/>
            <w:tcBorders>
              <w:top w:val="single" w:color="CCCCCC" w:sz="1"/>
              <w:left w:val="single" w:color="CCCCCC" w:sz="1"/>
              <w:bottom w:val="single" w:color="CCCCCC" w:sz="1"/>
              <w:right w:val="single" w:color="CCCCCC" w:sz="1"/>
            </w:tcBorders>
            <w:shd w:fill="F5F9FC"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Caratteristica del campione clinico</w:t>
            </w:r>
          </w:p>
        </w:tc>
        <w:tc>
          <w:tcPr>
            <w:tcW w:type="dxa" w:w="6760"/>
            <w:gridSpan w:val="1"/>
            <w:tcBorders>
              <w:top w:val="single" w:color="CCCCCC" w:sz="1"/>
              <w:left w:val="single" w:color="CCCCCC" w:sz="1"/>
              <w:bottom w:val="single" w:color="CCCCCC" w:sz="1"/>
              <w:right w:val="single" w:color="CCCCCC" w:sz="1"/>
            </w:tcBorders>
            <w:shd w:fill="F5F9FC"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Trattandosi di laboratorio clinico, la popolazione è arricchita di soggetti con patologie croniche. Tuttavia un innalzamento così diffuso (99.8% del campione) fa propendere per l’ipotesi A.</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8F00" w:sz="1"/>
              <w:left w:val="single" w:color="BF8F00" w:sz="12"/>
              <w:bottom w:val="single" w:color="BF8F00" w:sz="1"/>
              <w:right w:val="single" w:color="BF8F00" w:sz="1"/>
            </w:tcBorders>
            <w:shd w:fill="FFF2CC" w:val="clear"/>
            <w:tcMar>
              <w:top w:type="dxa" w:w="100"/>
              <w:left w:type="dxa" w:w="180"/>
              <w:bottom w:type="dxa" w:w="100"/>
              <w:right w:type="dxa" w:w="180"/>
            </w:tcMar>
          </w:tcPr>
          <w:p>
            <w:pPr>
              <w:spacing w:after="60" w:before="0"/>
            </w:pPr>
            <w:r>
              <w:rPr>
                <w:rFonts w:ascii="Arial" w:cs="Arial" w:eastAsia="Arial" w:hAnsi="Arial"/>
                <w:b/>
                <w:bCs/>
                <w:sz w:val="22"/>
                <w:szCs w:val="22"/>
              </w:rPr>
              <w:t xml:space="preserve">Impatto sull’indice derivato</w:t>
            </w:r>
          </w:p>
          <w:p>
            <w:pPr>
              <w:spacing w:after="40" w:before="0"/>
            </w:pPr>
            <w:r>
              <w:rPr>
                <w:rFonts w:ascii="Arial" w:cs="Arial" w:eastAsia="Arial" w:hAnsi="Arial"/>
                <w:sz w:val="20"/>
                <w:szCs w:val="20"/>
              </w:rPr>
              <w:t xml:space="preserve">Il rapporto Urea/Creatinina è utilizzato direttamente come feature nel modello (dominio 5 — Metabolico/Renale).</w:t>
            </w:r>
          </w:p>
          <w:p>
            <w:pPr>
              <w:spacing w:after="40" w:before="0"/>
            </w:pPr>
            <w:r>
              <w:rPr>
                <w:rFonts w:ascii="Arial" w:cs="Arial" w:eastAsia="Arial" w:hAnsi="Arial"/>
                <w:sz w:val="20"/>
                <w:szCs w:val="20"/>
              </w:rPr>
              <w:t xml:space="preserve">Se l’anomalia è dovuta a un errore di conversione, l’indice sarà sistematicamente errato per tutti i soggetti.</w:t>
            </w:r>
          </w:p>
          <w:p>
            <w:pPr>
              <w:spacing w:after="40" w:before="0"/>
            </w:pPr>
            <w:r>
              <w:rPr>
                <w:rFonts w:ascii="Arial" w:cs="Arial" w:eastAsia="Arial" w:hAnsi="Arial"/>
                <w:sz w:val="20"/>
                <w:szCs w:val="20"/>
              </w:rPr>
              <w:t xml:space="preserve">La correzione è semplice (divisione per 2.14) ma richiede conferma prima dell’applicazione.</w:t>
            </w:r>
          </w:p>
        </w:tc>
      </w:tr>
    </w:tbl>
    <w:p>
      <w:pPr>
        <w:spacing w:after="0" w:before="0"/>
      </w:pPr>
      <w:r>
        <w:t xml:space="preserve"/>
      </w:r>
    </w:p>
    <w:p>
      <w:pPr>
        <w:pStyle w:val="Heading1"/>
        <w:spacing w:after="180" w:before="360"/>
      </w:pPr>
      <w:r>
        <w:rPr>
          <w:rFonts w:ascii="Arial" w:cs="Arial" w:eastAsia="Arial" w:hAnsi="Arial"/>
          <w:b/>
          <w:bCs/>
          <w:color w:val="1F4E79"/>
          <w:sz w:val="32"/>
          <w:szCs w:val="32"/>
        </w:rPr>
        <w:t xml:space="preserve">8. Correzioni Formule — FIB-4 e De Ritis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2"/>
              <w:bottom w:val="single" w:color="C55A11" w:sz="1"/>
              <w:right w:val="single" w:color="C55A11" w:sz="1"/>
            </w:tcBorders>
            <w:shd w:fill="FCE4D6" w:val="clear"/>
            <w:tcMar>
              <w:top w:type="dxa" w:w="100"/>
              <w:left w:type="dxa" w:w="180"/>
              <w:bottom w:type="dxa" w:w="100"/>
              <w:right w:type="dxa" w:w="180"/>
            </w:tcMar>
          </w:tcPr>
          <w:p>
            <w:pPr>
              <w:spacing w:after="60" w:before="0"/>
            </w:pPr>
            <w:r>
              <w:rPr>
                <w:rFonts w:ascii="Arial" w:cs="Arial" w:eastAsia="Arial" w:hAnsi="Arial"/>
                <w:b/>
                <w:bCs/>
                <w:sz w:val="22"/>
                <w:szCs w:val="22"/>
              </w:rPr>
              <w:t xml:space="preserve">ATTENZIONE — Errori corretti nelle formule del notebook</w:t>
            </w:r>
          </w:p>
          <w:p>
            <w:pPr>
              <w:spacing w:after="40" w:before="0"/>
            </w:pPr>
            <w:r>
              <w:rPr>
                <w:rFonts w:ascii="Arial" w:cs="Arial" w:eastAsia="Arial" w:hAnsi="Arial"/>
                <w:sz w:val="20"/>
                <w:szCs w:val="20"/>
              </w:rPr>
              <w:t xml:space="preserve">L’analisi del codice sorgente ha evidenziato due errori nelle formule degli score clinici. Entrambi sono stati corretti nella versione attuale del notebook.</w:t>
            </w:r>
          </w:p>
        </w:tc>
      </w:tr>
    </w:tbl>
    <w:p>
      <w:pPr>
        <w:spacing w:after="0" w:before="0"/>
      </w:pPr>
      <w:r>
        <w:t xml:space="preserve"/>
      </w:r>
    </w:p>
    <w:p>
      <w:pPr>
        <w:pStyle w:val="Heading2"/>
        <w:spacing w:after="120" w:before="240"/>
      </w:pPr>
      <w:r>
        <w:rPr>
          <w:rFonts w:ascii="Arial" w:cs="Arial" w:eastAsia="Arial" w:hAnsi="Arial"/>
          <w:b/>
          <w:bCs/>
          <w:color w:val="2E75B6"/>
          <w:sz w:val="26"/>
          <w:szCs w:val="26"/>
        </w:rPr>
        <w:t xml:space="preserve">8.1 Formula FIB-4 — Errore di Inversione (corretto)</w:t>
      </w:r>
    </w:p>
    <w:p>
      <w:pPr>
        <w:spacing w:after="120" w:before="0"/>
        <w:jc w:val="left"/>
      </w:pPr>
      <w:r>
        <w:rPr>
          <w:rFonts w:ascii="Arial" w:cs="Arial" w:eastAsia="Arial" w:hAnsi="Arial"/>
          <w:b/>
          <w:bCs/>
          <w:color w:val="000000"/>
          <w:sz w:val="24"/>
          <w:szCs w:val="24"/>
        </w:rPr>
        <w:t xml:space="preserve">Formula nel codice originale:</w:t>
      </w:r>
    </w:p>
    <w:p>
      <w:pPr>
        <w:spacing w:after="120" w:before="0"/>
        <w:jc w:val="left"/>
      </w:pPr>
      <w:r>
        <w:rPr>
          <w:rFonts w:ascii="Arial" w:cs="Arial" w:eastAsia="Arial" w:hAnsi="Arial"/>
          <w:b w:val="false"/>
          <w:bCs w:val="false"/>
          <w:color w:val="CC0000"/>
          <w:sz w:val="24"/>
          <w:szCs w:val="24"/>
        </w:rPr>
        <w:t xml:space="preserve">  (Età / AST) / (PLT / √ALT)</w:t>
      </w:r>
    </w:p>
    <w:p>
      <w:pPr>
        <w:spacing w:after="120" w:before="0"/>
        <w:jc w:val="left"/>
      </w:pPr>
      <w:r>
        <w:rPr>
          <w:rFonts w:ascii="Arial" w:cs="Arial" w:eastAsia="Arial" w:hAnsi="Arial"/>
          <w:b/>
          <w:bCs/>
          <w:color w:val="000000"/>
          <w:sz w:val="24"/>
          <w:szCs w:val="24"/>
        </w:rPr>
        <w:t xml:space="preserve">Formula corretta (Sterling et al., Hepatology 2006):</w:t>
      </w:r>
    </w:p>
    <w:p>
      <w:pPr>
        <w:spacing w:after="120" w:before="0"/>
        <w:jc w:val="left"/>
      </w:pPr>
      <w:r>
        <w:rPr>
          <w:rFonts w:ascii="Arial" w:cs="Arial" w:eastAsia="Arial" w:hAnsi="Arial"/>
          <w:b w:val="false"/>
          <w:bCs w:val="false"/>
          <w:color w:val="1F6B00"/>
          <w:sz w:val="24"/>
          <w:szCs w:val="24"/>
        </w:rPr>
        <w:t xml:space="preserve">  (Età × AST) / (PLT × √ALT)</w:t>
      </w:r>
    </w:p>
    <w:p>
      <w:pPr>
        <w:spacing w:after="0" w:before="0"/>
      </w:pPr>
      <w:r>
        <w:t xml:space="preserve"/>
      </w:r>
    </w:p>
    <w:p>
      <w:pPr>
        <w:spacing w:after="120" w:before="0"/>
        <w:jc w:val="left"/>
      </w:pPr>
      <w:r>
        <w:rPr>
          <w:rFonts w:ascii="Arial" w:cs="Arial" w:eastAsia="Arial" w:hAnsi="Arial"/>
          <w:b w:val="false"/>
          <w:bCs w:val="false"/>
          <w:color w:val="000000"/>
          <w:sz w:val="24"/>
          <w:szCs w:val="24"/>
        </w:rPr>
        <w:t xml:space="preserve">Il codice originale usava la divisione (Età / AST) invece della moltiplicazione. La versione corretta nel notebook produce i valori attesi dalla letteratura.</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2E75B6" w:sz="1"/>
              <w:left w:val="single" w:color="2E75B6" w:sz="1"/>
              <w:bottom w:val="single" w:color="2E75B6" w:sz="1"/>
              <w:right w:val="single" w:color="2E75B6" w:sz="1"/>
            </w:tcBorders>
            <w:shd w:fill="BDD7EE" w:val="clear"/>
            <w:tcMar>
              <w:top w:type="dxa" w:w="80"/>
              <w:left w:type="dxa" w:w="100"/>
              <w:bottom w:type="dxa" w:w="80"/>
              <w:right w:type="dxa" w:w="100"/>
            </w:tcMar>
            <w:vAlign w:val="center"/>
          </w:tcPr>
          <w:p>
            <w:r>
              <w:rPr>
                <w:rFonts w:ascii="Arial" w:cs="Arial" w:eastAsia="Arial" w:hAnsi="Arial"/>
                <w:b/>
                <w:bCs/>
                <w:color w:val="1F4E79"/>
                <w:sz w:val="20"/>
                <w:szCs w:val="20"/>
              </w:rPr>
              <w:t xml:space="preserve">Statistica FIB-4</w:t>
            </w:r>
          </w:p>
        </w:tc>
        <w:tc>
          <w:tcPr>
            <w:tcW w:type="dxa" w:w="5160"/>
            <w:tcBorders>
              <w:top w:val="single" w:color="2E75B6" w:sz="1"/>
              <w:left w:val="single" w:color="2E75B6" w:sz="1"/>
              <w:bottom w:val="single" w:color="2E75B6" w:sz="1"/>
              <w:right w:val="single" w:color="2E75B6" w:sz="1"/>
            </w:tcBorders>
            <w:shd w:fill="BDD7EE" w:val="clear"/>
            <w:tcMar>
              <w:top w:type="dxa" w:w="80"/>
              <w:left w:type="dxa" w:w="100"/>
              <w:bottom w:type="dxa" w:w="80"/>
              <w:right w:type="dxa" w:w="100"/>
            </w:tcMar>
            <w:vAlign w:val="center"/>
          </w:tcPr>
          <w:p>
            <w:r>
              <w:rPr>
                <w:rFonts w:ascii="Arial" w:cs="Arial" w:eastAsia="Arial" w:hAnsi="Arial"/>
                <w:b/>
                <w:bCs/>
                <w:color w:val="1F4E79"/>
                <w:sz w:val="20"/>
                <w:szCs w:val="20"/>
              </w:rPr>
              <w:t xml:space="preserve">Formula corretta</w:t>
            </w:r>
          </w:p>
        </w:tc>
      </w:tr>
      <w:tr>
        <w:tc>
          <w:tcPr>
            <w:tcW w:type="dxa" w:w="4200"/>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Mediana [Q1–Q3]</w:t>
            </w:r>
          </w:p>
        </w:tc>
        <w:tc>
          <w:tcPr>
            <w:tcW w:type="dxa" w:w="5160"/>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1.07 [0.75–1.50]</w:t>
            </w:r>
          </w:p>
        </w:tc>
      </w:tr>
      <w:tr>
        <w:tc>
          <w:tcPr>
            <w:tcW w:type="dxa" w:w="4200"/>
            <w:gridSpan w:val="1"/>
            <w:tcBorders>
              <w:top w:val="single" w:color="CCCCCC" w:sz="1"/>
              <w:left w:val="single" w:color="CCCCCC" w:sz="1"/>
              <w:bottom w:val="single" w:color="CCCCCC" w:sz="1"/>
              <w:right w:val="single" w:color="CCCCCC" w:sz="1"/>
            </w:tcBorders>
            <w:shd w:fill="F5F9FC"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Pazienti con FIB-4 &gt; 1.30 (fibrosi lieve)</w:t>
            </w:r>
          </w:p>
        </w:tc>
        <w:tc>
          <w:tcPr>
            <w:tcW w:type="dxa" w:w="5160"/>
            <w:gridSpan w:val="1"/>
            <w:tcBorders>
              <w:top w:val="single" w:color="CCCCCC" w:sz="1"/>
              <w:left w:val="single" w:color="CCCCCC" w:sz="1"/>
              <w:bottom w:val="single" w:color="CCCCCC" w:sz="1"/>
              <w:right w:val="single" w:color="CCCCCC" w:sz="1"/>
            </w:tcBorders>
            <w:shd w:fill="F5F9FC"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34.6%</w:t>
            </w:r>
          </w:p>
        </w:tc>
      </w:tr>
      <w:tr>
        <w:tc>
          <w:tcPr>
            <w:tcW w:type="dxa" w:w="4200"/>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Pazienti con FIB-4 &gt; 2.67 (fibrosi avanzata)</w:t>
            </w:r>
          </w:p>
        </w:tc>
        <w:tc>
          <w:tcPr>
            <w:tcW w:type="dxa" w:w="5160"/>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3.4%</w:t>
            </w:r>
          </w:p>
        </w:tc>
      </w:tr>
      <w:tr>
        <w:tc>
          <w:tcPr>
            <w:tcW w:type="dxa" w:w="4200"/>
            <w:gridSpan w:val="1"/>
            <w:tcBorders>
              <w:top w:val="single" w:color="CCCCCC" w:sz="1"/>
              <w:left w:val="single" w:color="CCCCCC" w:sz="1"/>
              <w:bottom w:val="single" w:color="CCCCCC" w:sz="1"/>
              <w:right w:val="single" w:color="CCCCCC" w:sz="1"/>
            </w:tcBorders>
            <w:shd w:fill="F5F9FC"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Media</w:t>
            </w:r>
          </w:p>
        </w:tc>
        <w:tc>
          <w:tcPr>
            <w:tcW w:type="dxa" w:w="5160"/>
            <w:gridSpan w:val="1"/>
            <w:tcBorders>
              <w:top w:val="single" w:color="CCCCCC" w:sz="1"/>
              <w:left w:val="single" w:color="CCCCCC" w:sz="1"/>
              <w:bottom w:val="single" w:color="CCCCCC" w:sz="1"/>
              <w:right w:val="single" w:color="CCCCCC" w:sz="1"/>
            </w:tcBorders>
            <w:shd w:fill="F5F9FC"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1.21</w:t>
            </w:r>
          </w:p>
        </w:tc>
      </w:tr>
    </w:tbl>
    <w:p>
      <w:pPr>
        <w:spacing w:after="0" w:before="0"/>
      </w:pPr>
      <w:r>
        <w:t xml:space="preserve"/>
      </w:r>
    </w:p>
    <w:p>
      <w:pPr>
        <w:pStyle w:val="Heading2"/>
        <w:spacing w:after="120" w:before="240"/>
      </w:pPr>
      <w:r>
        <w:rPr>
          <w:rFonts w:ascii="Arial" w:cs="Arial" w:eastAsia="Arial" w:hAnsi="Arial"/>
          <w:b/>
          <w:bCs/>
          <w:color w:val="2E75B6"/>
          <w:sz w:val="26"/>
          <w:szCs w:val="26"/>
        </w:rPr>
        <w:t xml:space="preserve">8.2 Formula De Ritis — Numeratore e Denominatore Invertiti (corretto)</w:t>
      </w:r>
    </w:p>
    <w:p>
      <w:pPr>
        <w:spacing w:after="120" w:before="0"/>
        <w:jc w:val="left"/>
      </w:pPr>
      <w:r>
        <w:rPr>
          <w:rFonts w:ascii="Arial" w:cs="Arial" w:eastAsia="Arial" w:hAnsi="Arial"/>
          <w:b/>
          <w:bCs/>
          <w:color w:val="000000"/>
          <w:sz w:val="24"/>
          <w:szCs w:val="24"/>
        </w:rPr>
        <w:t xml:space="preserve">Formula nel codice originale:</w:t>
      </w:r>
    </w:p>
    <w:p>
      <w:pPr>
        <w:spacing w:after="120" w:before="0"/>
        <w:jc w:val="left"/>
      </w:pPr>
      <w:r>
        <w:rPr>
          <w:rFonts w:ascii="Arial" w:cs="Arial" w:eastAsia="Arial" w:hAnsi="Arial"/>
          <w:b w:val="false"/>
          <w:bCs w:val="false"/>
          <w:color w:val="CC0000"/>
          <w:sz w:val="24"/>
          <w:szCs w:val="24"/>
        </w:rPr>
        <w:t xml:space="preserve">  ALT / AST (inverso del De Ritis)</w:t>
      </w:r>
    </w:p>
    <w:p>
      <w:pPr>
        <w:spacing w:after="120" w:before="0"/>
        <w:jc w:val="left"/>
      </w:pPr>
      <w:r>
        <w:rPr>
          <w:rFonts w:ascii="Arial" w:cs="Arial" w:eastAsia="Arial" w:hAnsi="Arial"/>
          <w:b/>
          <w:bCs/>
          <w:color w:val="000000"/>
          <w:sz w:val="24"/>
          <w:szCs w:val="24"/>
        </w:rPr>
        <w:t xml:space="preserve">Formula corretta (De Ritis et al., Minerva Med 1957):</w:t>
      </w:r>
    </w:p>
    <w:p>
      <w:pPr>
        <w:spacing w:after="120" w:before="0"/>
        <w:jc w:val="left"/>
      </w:pPr>
      <w:r>
        <w:rPr>
          <w:rFonts w:ascii="Arial" w:cs="Arial" w:eastAsia="Arial" w:hAnsi="Arial"/>
          <w:b w:val="false"/>
          <w:bCs w:val="false"/>
          <w:color w:val="1F6B00"/>
          <w:sz w:val="24"/>
          <w:szCs w:val="24"/>
        </w:rPr>
        <w:t xml:space="preserve">  AST / ALT</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2E75B6" w:sz="1"/>
              <w:left w:val="single" w:color="2E75B6" w:sz="1"/>
              <w:bottom w:val="single" w:color="2E75B6" w:sz="1"/>
              <w:right w:val="single" w:color="2E75B6" w:sz="1"/>
            </w:tcBorders>
            <w:shd w:fill="BDD7EE" w:val="clear"/>
            <w:tcMar>
              <w:top w:type="dxa" w:w="80"/>
              <w:left w:type="dxa" w:w="100"/>
              <w:bottom w:type="dxa" w:w="80"/>
              <w:right w:type="dxa" w:w="100"/>
            </w:tcMar>
            <w:vAlign w:val="center"/>
          </w:tcPr>
          <w:p>
            <w:r>
              <w:rPr>
                <w:rFonts w:ascii="Arial" w:cs="Arial" w:eastAsia="Arial" w:hAnsi="Arial"/>
                <w:b/>
                <w:bCs/>
                <w:color w:val="1F4E79"/>
                <w:sz w:val="20"/>
                <w:szCs w:val="20"/>
              </w:rPr>
              <w:t xml:space="preserve">Statistica De Ritis (AST/ALT)</w:t>
            </w:r>
          </w:p>
        </w:tc>
        <w:tc>
          <w:tcPr>
            <w:tcW w:type="dxa" w:w="5160"/>
            <w:tcBorders>
              <w:top w:val="single" w:color="2E75B6" w:sz="1"/>
              <w:left w:val="single" w:color="2E75B6" w:sz="1"/>
              <w:bottom w:val="single" w:color="2E75B6" w:sz="1"/>
              <w:right w:val="single" w:color="2E75B6" w:sz="1"/>
            </w:tcBorders>
            <w:shd w:fill="BDD7EE" w:val="clear"/>
            <w:tcMar>
              <w:top w:type="dxa" w:w="80"/>
              <w:left w:type="dxa" w:w="100"/>
              <w:bottom w:type="dxa" w:w="80"/>
              <w:right w:type="dxa" w:w="100"/>
            </w:tcMar>
            <w:vAlign w:val="center"/>
          </w:tcPr>
          <w:p>
            <w:r>
              <w:rPr>
                <w:rFonts w:ascii="Arial" w:cs="Arial" w:eastAsia="Arial" w:hAnsi="Arial"/>
                <w:b/>
                <w:bCs/>
                <w:color w:val="1F4E79"/>
                <w:sz w:val="20"/>
                <w:szCs w:val="20"/>
              </w:rPr>
              <w:t xml:space="preserve">Valore</w:t>
            </w:r>
          </w:p>
        </w:tc>
      </w:tr>
      <w:tr>
        <w:tc>
          <w:tcPr>
            <w:tcW w:type="dxa" w:w="4200"/>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Mediana [Q1–Q3]</w:t>
            </w:r>
          </w:p>
        </w:tc>
        <w:tc>
          <w:tcPr>
            <w:tcW w:type="dxa" w:w="5160"/>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1.05 [0.83–1.30]</w:t>
            </w:r>
          </w:p>
        </w:tc>
      </w:tr>
      <w:tr>
        <w:tc>
          <w:tcPr>
            <w:tcW w:type="dxa" w:w="4200"/>
            <w:gridSpan w:val="1"/>
            <w:tcBorders>
              <w:top w:val="single" w:color="CCCCCC" w:sz="1"/>
              <w:left w:val="single" w:color="CCCCCC" w:sz="1"/>
              <w:bottom w:val="single" w:color="CCCCCC" w:sz="1"/>
              <w:right w:val="single" w:color="CCCCCC" w:sz="1"/>
            </w:tcBorders>
            <w:shd w:fill="F5F9FC"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Media</w:t>
            </w:r>
          </w:p>
        </w:tc>
        <w:tc>
          <w:tcPr>
            <w:tcW w:type="dxa" w:w="5160"/>
            <w:gridSpan w:val="1"/>
            <w:tcBorders>
              <w:top w:val="single" w:color="CCCCCC" w:sz="1"/>
              <w:left w:val="single" w:color="CCCCCC" w:sz="1"/>
              <w:bottom w:val="single" w:color="CCCCCC" w:sz="1"/>
              <w:right w:val="single" w:color="CCCCCC" w:sz="1"/>
            </w:tcBorders>
            <w:shd w:fill="F5F9FC"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1.09</w:t>
            </w:r>
          </w:p>
        </w:tc>
      </w:tr>
      <w:tr>
        <w:tc>
          <w:tcPr>
            <w:tcW w:type="dxa" w:w="4200"/>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Pazienti con De Ritis &lt; 1.0 (pattern MASLD)</w:t>
            </w:r>
          </w:p>
        </w:tc>
        <w:tc>
          <w:tcPr>
            <w:tcW w:type="dxa" w:w="5160"/>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~40%</w:t>
            </w:r>
          </w:p>
        </w:tc>
      </w:tr>
      <w:tr>
        <w:tc>
          <w:tcPr>
            <w:tcW w:type="dxa" w:w="4200"/>
            <w:gridSpan w:val="1"/>
            <w:tcBorders>
              <w:top w:val="single" w:color="CCCCCC" w:sz="1"/>
              <w:left w:val="single" w:color="CCCCCC" w:sz="1"/>
              <w:bottom w:val="single" w:color="CCCCCC" w:sz="1"/>
              <w:right w:val="single" w:color="CCCCCC" w:sz="1"/>
            </w:tcBorders>
            <w:shd w:fill="F5F9FC"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Pazienti con De Ritis &gt; 2.0 (pattern epatopatia)</w:t>
            </w:r>
          </w:p>
        </w:tc>
        <w:tc>
          <w:tcPr>
            <w:tcW w:type="dxa" w:w="5160"/>
            <w:gridSpan w:val="1"/>
            <w:tcBorders>
              <w:top w:val="single" w:color="CCCCCC" w:sz="1"/>
              <w:left w:val="single" w:color="CCCCCC" w:sz="1"/>
              <w:bottom w:val="single" w:color="CCCCCC" w:sz="1"/>
              <w:right w:val="single" w:color="CCCCCC" w:sz="1"/>
            </w:tcBorders>
            <w:shd w:fill="F5F9FC"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&lt; 5%</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400"/>
        <w:gridCol w:w="3300"/>
        <w:gridCol w:w="2660"/>
      </w:tblGrid>
      <w:tr>
        <w:tc>
          <w:tcPr>
            <w:tcW w:type="dxa" w:w="1000"/>
            <w:tcBorders>
              <w:top w:val="single" w:color="2E75B6" w:sz="1"/>
              <w:left w:val="single" w:color="2E75B6" w:sz="1"/>
              <w:bottom w:val="single" w:color="2E75B6" w:sz="1"/>
              <w:right w:val="single" w:color="2E75B6" w:sz="1"/>
            </w:tcBorders>
            <w:shd w:fill="BDD7EE" w:val="clear"/>
            <w:tcMar>
              <w:top w:type="dxa" w:w="80"/>
              <w:left w:type="dxa" w:w="100"/>
              <w:bottom w:type="dxa" w:w="80"/>
              <w:right w:type="dxa" w:w="100"/>
            </w:tcMar>
            <w:vAlign w:val="center"/>
          </w:tcPr>
          <w:p>
            <w:r>
              <w:rPr>
                <w:rFonts w:ascii="Arial" w:cs="Arial" w:eastAsia="Arial" w:hAnsi="Arial"/>
                <w:b/>
                <w:bCs/>
                <w:color w:val="1F4E79"/>
                <w:sz w:val="20"/>
                <w:szCs w:val="20"/>
              </w:rPr>
              <w:t xml:space="preserve">Score</w:t>
            </w:r>
          </w:p>
        </w:tc>
        <w:tc>
          <w:tcPr>
            <w:tcW w:type="dxa" w:w="2400"/>
            <w:tcBorders>
              <w:top w:val="single" w:color="2E75B6" w:sz="1"/>
              <w:left w:val="single" w:color="2E75B6" w:sz="1"/>
              <w:bottom w:val="single" w:color="2E75B6" w:sz="1"/>
              <w:right w:val="single" w:color="2E75B6" w:sz="1"/>
            </w:tcBorders>
            <w:shd w:fill="BDD7EE" w:val="clear"/>
            <w:tcMar>
              <w:top w:type="dxa" w:w="80"/>
              <w:left w:type="dxa" w:w="100"/>
              <w:bottom w:type="dxa" w:w="80"/>
              <w:right w:type="dxa" w:w="100"/>
            </w:tcMar>
            <w:vAlign w:val="center"/>
          </w:tcPr>
          <w:p>
            <w:r>
              <w:rPr>
                <w:rFonts w:ascii="Arial" w:cs="Arial" w:eastAsia="Arial" w:hAnsi="Arial"/>
                <w:b/>
                <w:bCs/>
                <w:color w:val="1F4E79"/>
                <w:sz w:val="20"/>
                <w:szCs w:val="20"/>
              </w:rPr>
              <w:t xml:space="preserve">Errore nel codice</w:t>
            </w:r>
          </w:p>
        </w:tc>
        <w:tc>
          <w:tcPr>
            <w:tcW w:type="dxa" w:w="3300"/>
            <w:tcBorders>
              <w:top w:val="single" w:color="2E75B6" w:sz="1"/>
              <w:left w:val="single" w:color="2E75B6" w:sz="1"/>
              <w:bottom w:val="single" w:color="2E75B6" w:sz="1"/>
              <w:right w:val="single" w:color="2E75B6" w:sz="1"/>
            </w:tcBorders>
            <w:shd w:fill="BDD7EE" w:val="clear"/>
            <w:tcMar>
              <w:top w:type="dxa" w:w="80"/>
              <w:left w:type="dxa" w:w="100"/>
              <w:bottom w:type="dxa" w:w="80"/>
              <w:right w:type="dxa" w:w="100"/>
            </w:tcMar>
            <w:vAlign w:val="center"/>
          </w:tcPr>
          <w:p>
            <w:r>
              <w:rPr>
                <w:rFonts w:ascii="Arial" w:cs="Arial" w:eastAsia="Arial" w:hAnsi="Arial"/>
                <w:b/>
                <w:bCs/>
                <w:color w:val="1F4E79"/>
                <w:sz w:val="20"/>
                <w:szCs w:val="20"/>
              </w:rPr>
              <w:t xml:space="preserve">Effetto</w:t>
            </w:r>
          </w:p>
        </w:tc>
        <w:tc>
          <w:tcPr>
            <w:tcW w:type="dxa" w:w="2660"/>
            <w:tcBorders>
              <w:top w:val="single" w:color="2E75B6" w:sz="1"/>
              <w:left w:val="single" w:color="2E75B6" w:sz="1"/>
              <w:bottom w:val="single" w:color="2E75B6" w:sz="1"/>
              <w:right w:val="single" w:color="2E75B6" w:sz="1"/>
            </w:tcBorders>
            <w:shd w:fill="BDD7EE" w:val="clear"/>
            <w:tcMar>
              <w:top w:type="dxa" w:w="80"/>
              <w:left w:type="dxa" w:w="100"/>
              <w:bottom w:type="dxa" w:w="80"/>
              <w:right w:type="dxa" w:w="100"/>
            </w:tcMar>
            <w:vAlign w:val="center"/>
          </w:tcPr>
          <w:p>
            <w:r>
              <w:rPr>
                <w:rFonts w:ascii="Arial" w:cs="Arial" w:eastAsia="Arial" w:hAnsi="Arial"/>
                <w:b/>
                <w:bCs/>
                <w:color w:val="1F4E79"/>
                <w:sz w:val="20"/>
                <w:szCs w:val="20"/>
              </w:rPr>
              <w:t xml:space="preserve">Correzione</w:t>
            </w:r>
          </w:p>
        </w:tc>
      </w:tr>
      <w:tr>
        <w:tc>
          <w:tcPr>
            <w:tcW w:type="dxa" w:w="1000"/>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FIB-4</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Divisione invece di moltiplicazione in Età*AST</w:t>
            </w:r>
          </w:p>
        </w:tc>
        <w:tc>
          <w:tcPr>
            <w:tcW w:type="dxa" w:w="3300"/>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Valore sistematicamente errato, non comparabile con cut-off clinici</w:t>
            </w:r>
          </w:p>
        </w:tc>
        <w:tc>
          <w:tcPr>
            <w:tcW w:type="dxa" w:w="2660"/>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Corretta: (età × AST) / (PLT × √ALT)</w:t>
            </w:r>
          </w:p>
        </w:tc>
      </w:tr>
      <w:tr>
        <w:tc>
          <w:tcPr>
            <w:tcW w:type="dxa" w:w="1000"/>
            <w:gridSpan w:val="1"/>
            <w:tcBorders>
              <w:top w:val="single" w:color="CCCCCC" w:sz="1"/>
              <w:left w:val="single" w:color="CCCCCC" w:sz="1"/>
              <w:bottom w:val="single" w:color="CCCCCC" w:sz="1"/>
              <w:right w:val="single" w:color="CCCCCC" w:sz="1"/>
            </w:tcBorders>
            <w:shd w:fill="F5F9FC"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De Ritis</w:t>
            </w:r>
          </w:p>
        </w:tc>
        <w:tc>
          <w:tcPr>
            <w:tcW w:type="dxa" w:w="2400"/>
            <w:gridSpan w:val="1"/>
            <w:tcBorders>
              <w:top w:val="single" w:color="CCCCCC" w:sz="1"/>
              <w:left w:val="single" w:color="CCCCCC" w:sz="1"/>
              <w:bottom w:val="single" w:color="CCCCCC" w:sz="1"/>
              <w:right w:val="single" w:color="CCCCCC" w:sz="1"/>
            </w:tcBorders>
            <w:shd w:fill="F5F9FC"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Calcola ALT/AST invece di AST/ALT</w:t>
            </w:r>
          </w:p>
        </w:tc>
        <w:tc>
          <w:tcPr>
            <w:tcW w:type="dxa" w:w="3300"/>
            <w:gridSpan w:val="1"/>
            <w:tcBorders>
              <w:top w:val="single" w:color="CCCCCC" w:sz="1"/>
              <w:left w:val="single" w:color="CCCCCC" w:sz="1"/>
              <w:bottom w:val="single" w:color="CCCCCC" w:sz="1"/>
              <w:right w:val="single" w:color="CCCCCC" w:sz="1"/>
            </w:tcBorders>
            <w:shd w:fill="F5F9FC"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Classificazione MASLD/Alcolica completamente invertita</w:t>
            </w:r>
          </w:p>
        </w:tc>
        <w:tc>
          <w:tcPr>
            <w:tcW w:type="dxa" w:w="2660"/>
            <w:gridSpan w:val="1"/>
            <w:tcBorders>
              <w:top w:val="single" w:color="CCCCCC" w:sz="1"/>
              <w:left w:val="single" w:color="CCCCCC" w:sz="1"/>
              <w:bottom w:val="single" w:color="CCCCCC" w:sz="1"/>
              <w:right w:val="single" w:color="CCCCCC" w:sz="1"/>
            </w:tcBorders>
            <w:shd w:fill="F5F9FC"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Corretta: AST / ALT</w:t>
            </w:r>
          </w:p>
        </w:tc>
      </w:tr>
    </w:tbl>
    <w:p>
      <w:pPr>
        <w:spacing w:after="0" w:before="0"/>
      </w:pPr>
      <w:r>
        <w:t xml:space="preserve"/>
      </w:r>
    </w:p>
    <w:p>
      <w:pPr>
        <w:pStyle w:val="Heading1"/>
        <w:spacing w:after="180" w:before="360"/>
      </w:pPr>
      <w:r>
        <w:rPr>
          <w:rFonts w:ascii="Arial" w:cs="Arial" w:eastAsia="Arial" w:hAnsi="Arial"/>
          <w:b/>
          <w:bCs/>
          <w:color w:val="1F4E79"/>
          <w:sz w:val="32"/>
          <w:szCs w:val="32"/>
        </w:rPr>
        <w:t xml:space="preserve">9. Score Clinici — Distribuzioni e Cut-off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2400"/>
        <w:gridCol w:w="1700"/>
        <w:gridCol w:w="1860"/>
      </w:tblGrid>
      <w:tr>
        <w:tc>
          <w:tcPr>
            <w:tcW w:type="dxa" w:w="1700"/>
            <w:tcBorders>
              <w:top w:val="single" w:color="2E75B6" w:sz="1"/>
              <w:left w:val="single" w:color="2E75B6" w:sz="1"/>
              <w:bottom w:val="single" w:color="2E75B6" w:sz="1"/>
              <w:right w:val="single" w:color="2E75B6" w:sz="1"/>
            </w:tcBorders>
            <w:shd w:fill="BDD7EE" w:val="clear"/>
            <w:tcMar>
              <w:top w:type="dxa" w:w="80"/>
              <w:left w:type="dxa" w:w="100"/>
              <w:bottom w:type="dxa" w:w="80"/>
              <w:right w:type="dxa" w:w="100"/>
            </w:tcMar>
            <w:vAlign w:val="center"/>
          </w:tcPr>
          <w:p>
            <w:r>
              <w:rPr>
                <w:rFonts w:ascii="Arial" w:cs="Arial" w:eastAsia="Arial" w:hAnsi="Arial"/>
                <w:b/>
                <w:bCs/>
                <w:color w:val="1F4E79"/>
                <w:sz w:val="20"/>
                <w:szCs w:val="20"/>
              </w:rPr>
              <w:t xml:space="preserve">Dominio</w:t>
            </w:r>
          </w:p>
        </w:tc>
        <w:tc>
          <w:tcPr>
            <w:tcW w:type="dxa" w:w="1700"/>
            <w:tcBorders>
              <w:top w:val="single" w:color="2E75B6" w:sz="1"/>
              <w:left w:val="single" w:color="2E75B6" w:sz="1"/>
              <w:bottom w:val="single" w:color="2E75B6" w:sz="1"/>
              <w:right w:val="single" w:color="2E75B6" w:sz="1"/>
            </w:tcBorders>
            <w:shd w:fill="BDD7EE" w:val="clear"/>
            <w:tcMar>
              <w:top w:type="dxa" w:w="80"/>
              <w:left w:type="dxa" w:w="100"/>
              <w:bottom w:type="dxa" w:w="80"/>
              <w:right w:type="dxa" w:w="100"/>
            </w:tcMar>
            <w:vAlign w:val="center"/>
          </w:tcPr>
          <w:p>
            <w:r>
              <w:rPr>
                <w:rFonts w:ascii="Arial" w:cs="Arial" w:eastAsia="Arial" w:hAnsi="Arial"/>
                <w:b/>
                <w:bCs/>
                <w:color w:val="1F4E79"/>
                <w:sz w:val="20"/>
                <w:szCs w:val="20"/>
              </w:rPr>
              <w:t xml:space="preserve">Score</w:t>
            </w:r>
          </w:p>
        </w:tc>
        <w:tc>
          <w:tcPr>
            <w:tcW w:type="dxa" w:w="2400"/>
            <w:tcBorders>
              <w:top w:val="single" w:color="2E75B6" w:sz="1"/>
              <w:left w:val="single" w:color="2E75B6" w:sz="1"/>
              <w:bottom w:val="single" w:color="2E75B6" w:sz="1"/>
              <w:right w:val="single" w:color="2E75B6" w:sz="1"/>
            </w:tcBorders>
            <w:shd w:fill="BDD7EE" w:val="clear"/>
            <w:tcMar>
              <w:top w:type="dxa" w:w="80"/>
              <w:left w:type="dxa" w:w="100"/>
              <w:bottom w:type="dxa" w:w="80"/>
              <w:right w:type="dxa" w:w="100"/>
            </w:tcMar>
            <w:vAlign w:val="center"/>
          </w:tcPr>
          <w:p>
            <w:r>
              <w:rPr>
                <w:rFonts w:ascii="Arial" w:cs="Arial" w:eastAsia="Arial" w:hAnsi="Arial"/>
                <w:b/>
                <w:bCs/>
                <w:color w:val="1F4E79"/>
                <w:sz w:val="20"/>
                <w:szCs w:val="20"/>
              </w:rPr>
              <w:t xml:space="preserve">Formula</w:t>
            </w:r>
          </w:p>
        </w:tc>
        <w:tc>
          <w:tcPr>
            <w:tcW w:type="dxa" w:w="1700"/>
            <w:tcBorders>
              <w:top w:val="single" w:color="2E75B6" w:sz="1"/>
              <w:left w:val="single" w:color="2E75B6" w:sz="1"/>
              <w:bottom w:val="single" w:color="2E75B6" w:sz="1"/>
              <w:right w:val="single" w:color="2E75B6" w:sz="1"/>
            </w:tcBorders>
            <w:shd w:fill="BDD7EE" w:val="clear"/>
            <w:tcMar>
              <w:top w:type="dxa" w:w="80"/>
              <w:left w:type="dxa" w:w="100"/>
              <w:bottom w:type="dxa" w:w="80"/>
              <w:right w:type="dxa" w:w="100"/>
            </w:tcMar>
            <w:vAlign w:val="center"/>
          </w:tcPr>
          <w:p>
            <w:r>
              <w:rPr>
                <w:rFonts w:ascii="Arial" w:cs="Arial" w:eastAsia="Arial" w:hAnsi="Arial"/>
                <w:b/>
                <w:bCs/>
                <w:color w:val="1F4E79"/>
                <w:sz w:val="20"/>
                <w:szCs w:val="20"/>
              </w:rPr>
              <w:t xml:space="preserve">Normale</w:t>
            </w:r>
          </w:p>
        </w:tc>
        <w:tc>
          <w:tcPr>
            <w:tcW w:type="dxa" w:w="1860"/>
            <w:tcBorders>
              <w:top w:val="single" w:color="2E75B6" w:sz="1"/>
              <w:left w:val="single" w:color="2E75B6" w:sz="1"/>
              <w:bottom w:val="single" w:color="2E75B6" w:sz="1"/>
              <w:right w:val="single" w:color="2E75B6" w:sz="1"/>
            </w:tcBorders>
            <w:shd w:fill="BDD7EE" w:val="clear"/>
            <w:tcMar>
              <w:top w:type="dxa" w:w="80"/>
              <w:left w:type="dxa" w:w="100"/>
              <w:bottom w:type="dxa" w:w="80"/>
              <w:right w:type="dxa" w:w="100"/>
            </w:tcMar>
            <w:vAlign w:val="center"/>
          </w:tcPr>
          <w:p>
            <w:r>
              <w:rPr>
                <w:rFonts w:ascii="Arial" w:cs="Arial" w:eastAsia="Arial" w:hAnsi="Arial"/>
                <w:b/>
                <w:bCs/>
                <w:color w:val="1F4E79"/>
                <w:sz w:val="20"/>
                <w:szCs w:val="20"/>
              </w:rPr>
              <w:t xml:space="preserve">Soglia Alto</w:t>
            </w:r>
          </w:p>
        </w:tc>
      </w:tr>
      <w:tr>
        <w:tc>
          <w:tcPr>
            <w:tcW w:type="dxa" w:w="1700"/>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Insulino-Resistenza</w:t>
            </w:r>
          </w:p>
        </w:tc>
        <w:tc>
          <w:tcPr>
            <w:tcW w:type="dxa" w:w="1700"/>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TyG Index</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ln(TG × Glicemia / 2)</w:t>
            </w:r>
          </w:p>
        </w:tc>
        <w:tc>
          <w:tcPr>
            <w:tcW w:type="dxa" w:w="1700"/>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&lt; 8.5</w:t>
            </w:r>
          </w:p>
        </w:tc>
        <w:tc>
          <w:tcPr>
            <w:tcW w:type="dxa" w:w="1860"/>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&gt; 8.82</w:t>
            </w:r>
          </w:p>
        </w:tc>
      </w:tr>
      <w:tr>
        <w:tc>
          <w:tcPr>
            <w:tcW w:type="dxa" w:w="1700"/>
            <w:gridSpan w:val="1"/>
            <w:tcBorders>
              <w:top w:val="single" w:color="CCCCCC" w:sz="1"/>
              <w:left w:val="single" w:color="CCCCCC" w:sz="1"/>
              <w:bottom w:val="single" w:color="CCCCCC" w:sz="1"/>
              <w:right w:val="single" w:color="CCCCCC" w:sz="1"/>
            </w:tcBorders>
            <w:shd w:fill="F5F9FC"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Insulino-Resistenza</w:t>
            </w:r>
          </w:p>
        </w:tc>
        <w:tc>
          <w:tcPr>
            <w:tcW w:type="dxa" w:w="1700"/>
            <w:gridSpan w:val="1"/>
            <w:tcBorders>
              <w:top w:val="single" w:color="CCCCCC" w:sz="1"/>
              <w:left w:val="single" w:color="CCCCCC" w:sz="1"/>
              <w:bottom w:val="single" w:color="CCCCCC" w:sz="1"/>
              <w:right w:val="single" w:color="CCCCCC" w:sz="1"/>
            </w:tcBorders>
            <w:shd w:fill="F5F9FC"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TG/HDL Ratio</w:t>
            </w:r>
          </w:p>
        </w:tc>
        <w:tc>
          <w:tcPr>
            <w:tcW w:type="dxa" w:w="2400"/>
            <w:gridSpan w:val="1"/>
            <w:tcBorders>
              <w:top w:val="single" w:color="CCCCCC" w:sz="1"/>
              <w:left w:val="single" w:color="CCCCCC" w:sz="1"/>
              <w:bottom w:val="single" w:color="CCCCCC" w:sz="1"/>
              <w:right w:val="single" w:color="CCCCCC" w:sz="1"/>
            </w:tcBorders>
            <w:shd w:fill="F5F9FC"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TG / HDL</w:t>
            </w:r>
          </w:p>
        </w:tc>
        <w:tc>
          <w:tcPr>
            <w:tcW w:type="dxa" w:w="1700"/>
            <w:gridSpan w:val="1"/>
            <w:tcBorders>
              <w:top w:val="single" w:color="CCCCCC" w:sz="1"/>
              <w:left w:val="single" w:color="CCCCCC" w:sz="1"/>
              <w:bottom w:val="single" w:color="CCCCCC" w:sz="1"/>
              <w:right w:val="single" w:color="CCCCCC" w:sz="1"/>
            </w:tcBorders>
            <w:shd w:fill="F5F9FC"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&lt; 2.0</w:t>
            </w:r>
          </w:p>
        </w:tc>
        <w:tc>
          <w:tcPr>
            <w:tcW w:type="dxa" w:w="1860"/>
            <w:gridSpan w:val="1"/>
            <w:tcBorders>
              <w:top w:val="single" w:color="CCCCCC" w:sz="1"/>
              <w:left w:val="single" w:color="CCCCCC" w:sz="1"/>
              <w:bottom w:val="single" w:color="CCCCCC" w:sz="1"/>
              <w:right w:val="single" w:color="CCCCCC" w:sz="1"/>
            </w:tcBorders>
            <w:shd w:fill="F5F9FC"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&gt; 3.5</w:t>
            </w:r>
          </w:p>
        </w:tc>
      </w:tr>
      <w:tr>
        <w:tc>
          <w:tcPr>
            <w:tcW w:type="dxa" w:w="1700"/>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CV Lipidico</w:t>
            </w:r>
          </w:p>
        </w:tc>
        <w:tc>
          <w:tcPr>
            <w:tcW w:type="dxa" w:w="1700"/>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Castelli Index I</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Col.Tot. / HDL</w:t>
            </w:r>
          </w:p>
        </w:tc>
        <w:tc>
          <w:tcPr>
            <w:tcW w:type="dxa" w:w="1700"/>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&lt; 3.5</w:t>
            </w:r>
          </w:p>
        </w:tc>
        <w:tc>
          <w:tcPr>
            <w:tcW w:type="dxa" w:w="1860"/>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&gt; 4.5</w:t>
            </w:r>
          </w:p>
        </w:tc>
      </w:tr>
      <w:tr>
        <w:tc>
          <w:tcPr>
            <w:tcW w:type="dxa" w:w="1700"/>
            <w:gridSpan w:val="1"/>
            <w:tcBorders>
              <w:top w:val="single" w:color="CCCCCC" w:sz="1"/>
              <w:left w:val="single" w:color="CCCCCC" w:sz="1"/>
              <w:bottom w:val="single" w:color="CCCCCC" w:sz="1"/>
              <w:right w:val="single" w:color="CCCCCC" w:sz="1"/>
            </w:tcBorders>
            <w:shd w:fill="F5F9FC"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CV Lipidico</w:t>
            </w:r>
          </w:p>
        </w:tc>
        <w:tc>
          <w:tcPr>
            <w:tcW w:type="dxa" w:w="1700"/>
            <w:gridSpan w:val="1"/>
            <w:tcBorders>
              <w:top w:val="single" w:color="CCCCCC" w:sz="1"/>
              <w:left w:val="single" w:color="CCCCCC" w:sz="1"/>
              <w:bottom w:val="single" w:color="CCCCCC" w:sz="1"/>
              <w:right w:val="single" w:color="CCCCCC" w:sz="1"/>
            </w:tcBorders>
            <w:shd w:fill="F5F9FC"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Castelli Index II</w:t>
            </w:r>
          </w:p>
        </w:tc>
        <w:tc>
          <w:tcPr>
            <w:tcW w:type="dxa" w:w="2400"/>
            <w:gridSpan w:val="1"/>
            <w:tcBorders>
              <w:top w:val="single" w:color="CCCCCC" w:sz="1"/>
              <w:left w:val="single" w:color="CCCCCC" w:sz="1"/>
              <w:bottom w:val="single" w:color="CCCCCC" w:sz="1"/>
              <w:right w:val="single" w:color="CCCCCC" w:sz="1"/>
            </w:tcBorders>
            <w:shd w:fill="F5F9FC"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LDL / HDL</w:t>
            </w:r>
          </w:p>
        </w:tc>
        <w:tc>
          <w:tcPr>
            <w:tcW w:type="dxa" w:w="1700"/>
            <w:gridSpan w:val="1"/>
            <w:tcBorders>
              <w:top w:val="single" w:color="CCCCCC" w:sz="1"/>
              <w:left w:val="single" w:color="CCCCCC" w:sz="1"/>
              <w:bottom w:val="single" w:color="CCCCCC" w:sz="1"/>
              <w:right w:val="single" w:color="CCCCCC" w:sz="1"/>
            </w:tcBorders>
            <w:shd w:fill="F5F9FC"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&lt; 2.0</w:t>
            </w:r>
          </w:p>
        </w:tc>
        <w:tc>
          <w:tcPr>
            <w:tcW w:type="dxa" w:w="1860"/>
            <w:gridSpan w:val="1"/>
            <w:tcBorders>
              <w:top w:val="single" w:color="CCCCCC" w:sz="1"/>
              <w:left w:val="single" w:color="CCCCCC" w:sz="1"/>
              <w:bottom w:val="single" w:color="CCCCCC" w:sz="1"/>
              <w:right w:val="single" w:color="CCCCCC" w:sz="1"/>
            </w:tcBorders>
            <w:shd w:fill="F5F9FC"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&gt; 2.5</w:t>
            </w:r>
          </w:p>
        </w:tc>
      </w:tr>
      <w:tr>
        <w:tc>
          <w:tcPr>
            <w:tcW w:type="dxa" w:w="1700"/>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CV Lipidico</w:t>
            </w:r>
          </w:p>
        </w:tc>
        <w:tc>
          <w:tcPr>
            <w:tcW w:type="dxa" w:w="1700"/>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Non-HDL Colesterolo</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Col.Tot. − HDL</w:t>
            </w:r>
          </w:p>
        </w:tc>
        <w:tc>
          <w:tcPr>
            <w:tcW w:type="dxa" w:w="1700"/>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&lt; 130 mg/dL</w:t>
            </w:r>
          </w:p>
        </w:tc>
        <w:tc>
          <w:tcPr>
            <w:tcW w:type="dxa" w:w="1860"/>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&gt; 160 mg/dL</w:t>
            </w:r>
          </w:p>
        </w:tc>
      </w:tr>
      <w:tr>
        <w:tc>
          <w:tcPr>
            <w:tcW w:type="dxa" w:w="1700"/>
            <w:gridSpan w:val="1"/>
            <w:tcBorders>
              <w:top w:val="single" w:color="CCCCCC" w:sz="1"/>
              <w:left w:val="single" w:color="CCCCCC" w:sz="1"/>
              <w:bottom w:val="single" w:color="CCCCCC" w:sz="1"/>
              <w:right w:val="single" w:color="CCCCCC" w:sz="1"/>
            </w:tcBorders>
            <w:shd w:fill="F5F9FC"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Epatico ✓</w:t>
            </w:r>
          </w:p>
        </w:tc>
        <w:tc>
          <w:tcPr>
            <w:tcW w:type="dxa" w:w="1700"/>
            <w:gridSpan w:val="1"/>
            <w:tcBorders>
              <w:top w:val="single" w:color="CCCCCC" w:sz="1"/>
              <w:left w:val="single" w:color="CCCCCC" w:sz="1"/>
              <w:bottom w:val="single" w:color="CCCCCC" w:sz="1"/>
              <w:right w:val="single" w:color="CCCCCC" w:sz="1"/>
            </w:tcBorders>
            <w:shd w:fill="F5F9FC"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FIB-4</w:t>
            </w:r>
          </w:p>
        </w:tc>
        <w:tc>
          <w:tcPr>
            <w:tcW w:type="dxa" w:w="2400"/>
            <w:gridSpan w:val="1"/>
            <w:tcBorders>
              <w:top w:val="single" w:color="CCCCCC" w:sz="1"/>
              <w:left w:val="single" w:color="CCCCCC" w:sz="1"/>
              <w:bottom w:val="single" w:color="CCCCCC" w:sz="1"/>
              <w:right w:val="single" w:color="CCCCCC" w:sz="1"/>
            </w:tcBorders>
            <w:shd w:fill="F5F9FC"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(Età × AST) / (PLT × √ALT)</w:t>
            </w:r>
          </w:p>
        </w:tc>
        <w:tc>
          <w:tcPr>
            <w:tcW w:type="dxa" w:w="1700"/>
            <w:gridSpan w:val="1"/>
            <w:tcBorders>
              <w:top w:val="single" w:color="CCCCCC" w:sz="1"/>
              <w:left w:val="single" w:color="CCCCCC" w:sz="1"/>
              <w:bottom w:val="single" w:color="CCCCCC" w:sz="1"/>
              <w:right w:val="single" w:color="CCCCCC" w:sz="1"/>
            </w:tcBorders>
            <w:shd w:fill="F5F9FC"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&lt; 1.30</w:t>
            </w:r>
          </w:p>
        </w:tc>
        <w:tc>
          <w:tcPr>
            <w:tcW w:type="dxa" w:w="1860"/>
            <w:gridSpan w:val="1"/>
            <w:tcBorders>
              <w:top w:val="single" w:color="CCCCCC" w:sz="1"/>
              <w:left w:val="single" w:color="CCCCCC" w:sz="1"/>
              <w:bottom w:val="single" w:color="CCCCCC" w:sz="1"/>
              <w:right w:val="single" w:color="CCCCCC" w:sz="1"/>
            </w:tcBorders>
            <w:shd w:fill="F5F9FC"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&gt; 2.67</w:t>
            </w:r>
          </w:p>
        </w:tc>
      </w:tr>
      <w:tr>
        <w:tc>
          <w:tcPr>
            <w:tcW w:type="dxa" w:w="1700"/>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Epatico ✓</w:t>
            </w:r>
          </w:p>
        </w:tc>
        <w:tc>
          <w:tcPr>
            <w:tcW w:type="dxa" w:w="1700"/>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De Ritis</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AST / ALT</w:t>
            </w:r>
          </w:p>
        </w:tc>
        <w:tc>
          <w:tcPr>
            <w:tcW w:type="dxa" w:w="1700"/>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&lt; 1.0 (MASLD)</w:t>
            </w:r>
          </w:p>
        </w:tc>
        <w:tc>
          <w:tcPr>
            <w:tcW w:type="dxa" w:w="1860"/>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&gt; 2.0 (Alcolica)</w:t>
            </w:r>
          </w:p>
        </w:tc>
      </w:tr>
      <w:tr>
        <w:tc>
          <w:tcPr>
            <w:tcW w:type="dxa" w:w="1700"/>
            <w:gridSpan w:val="1"/>
            <w:tcBorders>
              <w:top w:val="single" w:color="CCCCCC" w:sz="1"/>
              <w:left w:val="single" w:color="CCCCCC" w:sz="1"/>
              <w:bottom w:val="single" w:color="CCCCCC" w:sz="1"/>
              <w:right w:val="single" w:color="CCCCCC" w:sz="1"/>
            </w:tcBorders>
            <w:shd w:fill="F5F9FC"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Infiammatorio</w:t>
            </w:r>
          </w:p>
        </w:tc>
        <w:tc>
          <w:tcPr>
            <w:tcW w:type="dxa" w:w="1700"/>
            <w:gridSpan w:val="1"/>
            <w:tcBorders>
              <w:top w:val="single" w:color="CCCCCC" w:sz="1"/>
              <w:left w:val="single" w:color="CCCCCC" w:sz="1"/>
              <w:bottom w:val="single" w:color="CCCCCC" w:sz="1"/>
              <w:right w:val="single" w:color="CCCCCC" w:sz="1"/>
            </w:tcBorders>
            <w:shd w:fill="F5F9FC"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NLR</w:t>
            </w:r>
          </w:p>
        </w:tc>
        <w:tc>
          <w:tcPr>
            <w:tcW w:type="dxa" w:w="2400"/>
            <w:gridSpan w:val="1"/>
            <w:tcBorders>
              <w:top w:val="single" w:color="CCCCCC" w:sz="1"/>
              <w:left w:val="single" w:color="CCCCCC" w:sz="1"/>
              <w:bottom w:val="single" w:color="CCCCCC" w:sz="1"/>
              <w:right w:val="single" w:color="CCCCCC" w:sz="1"/>
            </w:tcBorders>
            <w:shd w:fill="F5F9FC"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Neutrofili / Linfociti</w:t>
            </w:r>
          </w:p>
        </w:tc>
        <w:tc>
          <w:tcPr>
            <w:tcW w:type="dxa" w:w="1700"/>
            <w:gridSpan w:val="1"/>
            <w:tcBorders>
              <w:top w:val="single" w:color="CCCCCC" w:sz="1"/>
              <w:left w:val="single" w:color="CCCCCC" w:sz="1"/>
              <w:bottom w:val="single" w:color="CCCCCC" w:sz="1"/>
              <w:right w:val="single" w:color="CCCCCC" w:sz="1"/>
            </w:tcBorders>
            <w:shd w:fill="F5F9FC"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&lt; 2.0</w:t>
            </w:r>
          </w:p>
        </w:tc>
        <w:tc>
          <w:tcPr>
            <w:tcW w:type="dxa" w:w="1860"/>
            <w:gridSpan w:val="1"/>
            <w:tcBorders>
              <w:top w:val="single" w:color="CCCCCC" w:sz="1"/>
              <w:left w:val="single" w:color="CCCCCC" w:sz="1"/>
              <w:bottom w:val="single" w:color="CCCCCC" w:sz="1"/>
              <w:right w:val="single" w:color="CCCCCC" w:sz="1"/>
            </w:tcBorders>
            <w:shd w:fill="F5F9FC"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&gt; 3.0</w:t>
            </w:r>
          </w:p>
        </w:tc>
      </w:tr>
      <w:tr>
        <w:tc>
          <w:tcPr>
            <w:tcW w:type="dxa" w:w="1700"/>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Infiammatorio</w:t>
            </w:r>
          </w:p>
        </w:tc>
        <w:tc>
          <w:tcPr>
            <w:tcW w:type="dxa" w:w="1700"/>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PLR</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Piastrine / Linfociti</w:t>
            </w:r>
          </w:p>
        </w:tc>
        <w:tc>
          <w:tcPr>
            <w:tcW w:type="dxa" w:w="1700"/>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&lt; 100</w:t>
            </w:r>
          </w:p>
        </w:tc>
        <w:tc>
          <w:tcPr>
            <w:tcW w:type="dxa" w:w="1860"/>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&gt; 150</w:t>
            </w:r>
          </w:p>
        </w:tc>
      </w:tr>
      <w:tr>
        <w:tc>
          <w:tcPr>
            <w:tcW w:type="dxa" w:w="1700"/>
            <w:gridSpan w:val="1"/>
            <w:tcBorders>
              <w:top w:val="single" w:color="CCCCCC" w:sz="1"/>
              <w:left w:val="single" w:color="CCCCCC" w:sz="1"/>
              <w:bottom w:val="single" w:color="CCCCCC" w:sz="1"/>
              <w:right w:val="single" w:color="CCCCCC" w:sz="1"/>
            </w:tcBorders>
            <w:shd w:fill="F5F9FC"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Infiammatorio</w:t>
            </w:r>
          </w:p>
        </w:tc>
        <w:tc>
          <w:tcPr>
            <w:tcW w:type="dxa" w:w="1700"/>
            <w:gridSpan w:val="1"/>
            <w:tcBorders>
              <w:top w:val="single" w:color="CCCCCC" w:sz="1"/>
              <w:left w:val="single" w:color="CCCCCC" w:sz="1"/>
              <w:bottom w:val="single" w:color="CCCCCC" w:sz="1"/>
              <w:right w:val="single" w:color="CCCCCC" w:sz="1"/>
            </w:tcBorders>
            <w:shd w:fill="F5F9FC"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SII</w:t>
            </w:r>
          </w:p>
        </w:tc>
        <w:tc>
          <w:tcPr>
            <w:tcW w:type="dxa" w:w="2400"/>
            <w:gridSpan w:val="1"/>
            <w:tcBorders>
              <w:top w:val="single" w:color="CCCCCC" w:sz="1"/>
              <w:left w:val="single" w:color="CCCCCC" w:sz="1"/>
              <w:bottom w:val="single" w:color="CCCCCC" w:sz="1"/>
              <w:right w:val="single" w:color="CCCCCC" w:sz="1"/>
            </w:tcBorders>
            <w:shd w:fill="F5F9FC"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(PLT × Neut) / Linf</w:t>
            </w:r>
          </w:p>
        </w:tc>
        <w:tc>
          <w:tcPr>
            <w:tcW w:type="dxa" w:w="1700"/>
            <w:gridSpan w:val="1"/>
            <w:tcBorders>
              <w:top w:val="single" w:color="CCCCCC" w:sz="1"/>
              <w:left w:val="single" w:color="CCCCCC" w:sz="1"/>
              <w:bottom w:val="single" w:color="CCCCCC" w:sz="1"/>
              <w:right w:val="single" w:color="CCCCCC" w:sz="1"/>
            </w:tcBorders>
            <w:shd w:fill="F5F9FC"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&lt; 500</w:t>
            </w:r>
          </w:p>
        </w:tc>
        <w:tc>
          <w:tcPr>
            <w:tcW w:type="dxa" w:w="1860"/>
            <w:gridSpan w:val="1"/>
            <w:tcBorders>
              <w:top w:val="single" w:color="CCCCCC" w:sz="1"/>
              <w:left w:val="single" w:color="CCCCCC" w:sz="1"/>
              <w:bottom w:val="single" w:color="CCCCCC" w:sz="1"/>
              <w:right w:val="single" w:color="CCCCCC" w:sz="1"/>
            </w:tcBorders>
            <w:shd w:fill="F5F9FC"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&gt; 1.000</w:t>
            </w:r>
          </w:p>
        </w:tc>
      </w:tr>
      <w:tr>
        <w:tc>
          <w:tcPr>
            <w:tcW w:type="dxa" w:w="1700"/>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Renale **</w:t>
            </w:r>
          </w:p>
        </w:tc>
        <w:tc>
          <w:tcPr>
            <w:tcW w:type="dxa" w:w="1700"/>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Urea / Creatinina</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Urea / Creatinina</w:t>
            </w:r>
          </w:p>
        </w:tc>
        <w:tc>
          <w:tcPr>
            <w:tcW w:type="dxa" w:w="1700"/>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10–20</w:t>
            </w:r>
          </w:p>
        </w:tc>
        <w:tc>
          <w:tcPr>
            <w:tcW w:type="dxa" w:w="1860"/>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&gt; 20 (anomalia sistemica)</w:t>
            </w:r>
          </w:p>
        </w:tc>
      </w:tr>
    </w:tbl>
    <w:p>
      <w:pPr>
        <w:spacing w:after="120" w:before="0"/>
        <w:jc w:val="left"/>
      </w:pPr>
      <w:r>
        <w:rPr>
          <w:rFonts w:ascii="Arial" w:cs="Arial" w:eastAsia="Arial" w:hAnsi="Arial"/>
          <w:b w:val="false"/>
          <w:bCs w:val="false"/>
          <w:color w:val="555555"/>
          <w:sz w:val="18"/>
          <w:szCs w:val="18"/>
        </w:rPr>
        <w:t xml:space="preserve">✓ Formule corrette nella versione attuale del notebook (vedere Sezione 8).</w:t>
      </w:r>
    </w:p>
    <w:p>
      <w:pPr>
        <w:spacing w:after="120" w:before="0"/>
        <w:jc w:val="left"/>
      </w:pPr>
      <w:r>
        <w:rPr>
          <w:rFonts w:ascii="Arial" w:cs="Arial" w:eastAsia="Arial" w:hAnsi="Arial"/>
          <w:b w:val="false"/>
          <w:bCs w:val="false"/>
          <w:color w:val="555555"/>
          <w:sz w:val="18"/>
          <w:szCs w:val="18"/>
        </w:rPr>
        <w:t xml:space="preserve">** Anomalia sistematica — richiedere chiarimento clinico (vedere Sezione 7).</w:t>
      </w:r>
    </w:p>
    <w:p>
      <w:pPr>
        <w:spacing w:after="0" w:before="0"/>
      </w:pPr>
      <w:r>
        <w:t xml:space="preserve"/>
      </w:r>
    </w:p>
    <w:p>
      <w:pPr>
        <w:pStyle w:val="Heading2"/>
        <w:spacing w:after="120" w:before="240"/>
      </w:pPr>
      <w:r>
        <w:rPr>
          <w:rFonts w:ascii="Arial" w:cs="Arial" w:eastAsia="Arial" w:hAnsi="Arial"/>
          <w:b/>
          <w:bCs/>
          <w:color w:val="2E75B6"/>
          <w:sz w:val="26"/>
          <w:szCs w:val="26"/>
        </w:rPr>
        <w:t xml:space="preserve">9.1 Dominio Insulino-Resistenza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700"/>
        <w:gridCol w:w="2500"/>
        <w:gridCol w:w="1960"/>
      </w:tblGrid>
      <w:tr>
        <w:tc>
          <w:tcPr>
            <w:tcW w:type="dxa" w:w="2200"/>
            <w:tcBorders>
              <w:top w:val="single" w:color="2E75B6" w:sz="1"/>
              <w:left w:val="single" w:color="2E75B6" w:sz="1"/>
              <w:bottom w:val="single" w:color="2E75B6" w:sz="1"/>
              <w:right w:val="single" w:color="2E75B6" w:sz="1"/>
            </w:tcBorders>
            <w:shd w:fill="BDD7EE" w:val="clear"/>
            <w:tcMar>
              <w:top w:type="dxa" w:w="80"/>
              <w:left w:type="dxa" w:w="100"/>
              <w:bottom w:type="dxa" w:w="80"/>
              <w:right w:type="dxa" w:w="100"/>
            </w:tcMar>
            <w:vAlign w:val="center"/>
          </w:tcPr>
          <w:p>
            <w:r>
              <w:rPr>
                <w:rFonts w:ascii="Arial" w:cs="Arial" w:eastAsia="Arial" w:hAnsi="Arial"/>
                <w:b/>
                <w:bCs/>
                <w:color w:val="1F4E79"/>
                <w:sz w:val="20"/>
                <w:szCs w:val="20"/>
              </w:rPr>
              <w:t xml:space="preserve">Score</w:t>
            </w:r>
          </w:p>
        </w:tc>
        <w:tc>
          <w:tcPr>
            <w:tcW w:type="dxa" w:w="2700"/>
            <w:tcBorders>
              <w:top w:val="single" w:color="2E75B6" w:sz="1"/>
              <w:left w:val="single" w:color="2E75B6" w:sz="1"/>
              <w:bottom w:val="single" w:color="2E75B6" w:sz="1"/>
              <w:right w:val="single" w:color="2E75B6" w:sz="1"/>
            </w:tcBorders>
            <w:shd w:fill="BDD7EE" w:val="clear"/>
            <w:tcMar>
              <w:top w:type="dxa" w:w="80"/>
              <w:left w:type="dxa" w:w="100"/>
              <w:bottom w:type="dxa" w:w="80"/>
              <w:right w:type="dxa" w:w="100"/>
            </w:tcMar>
            <w:vAlign w:val="center"/>
          </w:tcPr>
          <w:p>
            <w:r>
              <w:rPr>
                <w:rFonts w:ascii="Arial" w:cs="Arial" w:eastAsia="Arial" w:hAnsi="Arial"/>
                <w:b/>
                <w:bCs/>
                <w:color w:val="1F4E79"/>
                <w:sz w:val="20"/>
                <w:szCs w:val="20"/>
              </w:rPr>
              <w:t xml:space="preserve">Mediana [Q1–Q3]</w:t>
            </w:r>
          </w:p>
        </w:tc>
        <w:tc>
          <w:tcPr>
            <w:tcW w:type="dxa" w:w="2500"/>
            <w:tcBorders>
              <w:top w:val="single" w:color="2E75B6" w:sz="1"/>
              <w:left w:val="single" w:color="2E75B6" w:sz="1"/>
              <w:bottom w:val="single" w:color="2E75B6" w:sz="1"/>
              <w:right w:val="single" w:color="2E75B6" w:sz="1"/>
            </w:tcBorders>
            <w:shd w:fill="BDD7EE" w:val="clear"/>
            <w:tcMar>
              <w:top w:type="dxa" w:w="80"/>
              <w:left w:type="dxa" w:w="100"/>
              <w:bottom w:type="dxa" w:w="80"/>
              <w:right w:type="dxa" w:w="100"/>
            </w:tcMar>
            <w:vAlign w:val="center"/>
          </w:tcPr>
          <w:p>
            <w:r>
              <w:rPr>
                <w:rFonts w:ascii="Arial" w:cs="Arial" w:eastAsia="Arial" w:hAnsi="Arial"/>
                <w:b/>
                <w:bCs/>
                <w:color w:val="1F4E79"/>
                <w:sz w:val="20"/>
                <w:szCs w:val="20"/>
              </w:rPr>
              <w:t xml:space="preserve">Media ± Std</w:t>
            </w:r>
          </w:p>
        </w:tc>
        <w:tc>
          <w:tcPr>
            <w:tcW w:type="dxa" w:w="1960"/>
            <w:tcBorders>
              <w:top w:val="single" w:color="2E75B6" w:sz="1"/>
              <w:left w:val="single" w:color="2E75B6" w:sz="1"/>
              <w:bottom w:val="single" w:color="2E75B6" w:sz="1"/>
              <w:right w:val="single" w:color="2E75B6" w:sz="1"/>
            </w:tcBorders>
            <w:shd w:fill="BDD7EE" w:val="clear"/>
            <w:tcMar>
              <w:top w:type="dxa" w:w="80"/>
              <w:left w:type="dxa" w:w="100"/>
              <w:bottom w:type="dxa" w:w="80"/>
              <w:right w:type="dxa" w:w="100"/>
            </w:tcMar>
            <w:vAlign w:val="center"/>
          </w:tcPr>
          <w:p>
            <w:r>
              <w:rPr>
                <w:rFonts w:ascii="Arial" w:cs="Arial" w:eastAsia="Arial" w:hAnsi="Arial"/>
                <w:b/>
                <w:bCs/>
                <w:color w:val="1F4E79"/>
                <w:sz w:val="20"/>
                <w:szCs w:val="20"/>
              </w:rPr>
              <w:t xml:space="preserve">% &gt; soglia alto</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TyG Index</w:t>
            </w:r>
          </w:p>
        </w:tc>
        <w:tc>
          <w:tcPr>
            <w:tcW w:type="dxa" w:w="2700"/>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8.40 [8.09–8.74]</w:t>
            </w:r>
          </w:p>
        </w:tc>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8.45 ± 0.52</w:t>
            </w:r>
          </w:p>
        </w:tc>
        <w:tc>
          <w:tcPr>
            <w:tcW w:type="dxa" w:w="1960"/>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20.7% (&gt; 8.82)</w:t>
            </w:r>
          </w:p>
        </w:tc>
      </w:tr>
      <w:tr>
        <w:tc>
          <w:tcPr>
            <w:tcW w:type="dxa" w:w="2200"/>
            <w:gridSpan w:val="1"/>
            <w:tcBorders>
              <w:top w:val="single" w:color="CCCCCC" w:sz="1"/>
              <w:left w:val="single" w:color="CCCCCC" w:sz="1"/>
              <w:bottom w:val="single" w:color="CCCCCC" w:sz="1"/>
              <w:right w:val="single" w:color="CCCCCC" w:sz="1"/>
            </w:tcBorders>
            <w:shd w:fill="F5F9FC"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TG/HDL Ratio</w:t>
            </w:r>
          </w:p>
        </w:tc>
        <w:tc>
          <w:tcPr>
            <w:tcW w:type="dxa" w:w="2700"/>
            <w:gridSpan w:val="1"/>
            <w:tcBorders>
              <w:top w:val="single" w:color="CCCCCC" w:sz="1"/>
              <w:left w:val="single" w:color="CCCCCC" w:sz="1"/>
              <w:bottom w:val="single" w:color="CCCCCC" w:sz="1"/>
              <w:right w:val="single" w:color="CCCCCC" w:sz="1"/>
            </w:tcBorders>
            <w:shd w:fill="F5F9FC"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1.62 [1.10–2.49]</w:t>
            </w:r>
          </w:p>
        </w:tc>
        <w:tc>
          <w:tcPr>
            <w:tcW w:type="dxa" w:w="2500"/>
            <w:gridSpan w:val="1"/>
            <w:tcBorders>
              <w:top w:val="single" w:color="CCCCCC" w:sz="1"/>
              <w:left w:val="single" w:color="CCCCCC" w:sz="1"/>
              <w:bottom w:val="single" w:color="CCCCCC" w:sz="1"/>
              <w:right w:val="single" w:color="CCCCCC" w:sz="1"/>
            </w:tcBorders>
            <w:shd w:fill="F5F9FC"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2.11 ± 1.95</w:t>
            </w:r>
          </w:p>
        </w:tc>
        <w:tc>
          <w:tcPr>
            <w:tcW w:type="dxa" w:w="1960"/>
            <w:gridSpan w:val="1"/>
            <w:tcBorders>
              <w:top w:val="single" w:color="CCCCCC" w:sz="1"/>
              <w:left w:val="single" w:color="CCCCCC" w:sz="1"/>
              <w:bottom w:val="single" w:color="CCCCCC" w:sz="1"/>
              <w:right w:val="single" w:color="CCCCCC" w:sz="1"/>
            </w:tcBorders>
            <w:shd w:fill="F5F9FC"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 (&gt; 3.5 non calcolato)</w:t>
            </w:r>
          </w:p>
        </w:tc>
      </w:tr>
    </w:tbl>
    <w:p>
      <w:pPr>
        <w:spacing w:after="120" w:before="0"/>
        <w:jc w:val="left"/>
      </w:pPr>
      <w:r>
        <w:rPr>
          <w:rFonts w:ascii="Arial" w:cs="Arial" w:eastAsia="Arial" w:hAnsi="Arial"/>
          <w:b w:val="false"/>
          <w:bCs w:val="false"/>
          <w:color w:val="000000"/>
          <w:sz w:val="24"/>
          <w:szCs w:val="24"/>
        </w:rPr>
        <w:t xml:space="preserve">Il TyG Index con mediana 8.40 si colloca nella zona borderline (8.5–8.82), coerente con una popolazione clinica arricchita di soggetti con alterazioni metaboliche.</w:t>
      </w:r>
    </w:p>
    <w:p>
      <w:pPr>
        <w:spacing w:after="0" w:before="0"/>
      </w:pPr>
      <w:r>
        <w:t xml:space="preserve"/>
      </w:r>
    </w:p>
    <w:p>
      <w:pPr>
        <w:pStyle w:val="Heading2"/>
        <w:spacing w:after="120" w:before="240"/>
      </w:pPr>
      <w:r>
        <w:rPr>
          <w:rFonts w:ascii="Arial" w:cs="Arial" w:eastAsia="Arial" w:hAnsi="Arial"/>
          <w:b/>
          <w:bCs/>
          <w:color w:val="2E75B6"/>
          <w:sz w:val="26"/>
          <w:szCs w:val="26"/>
        </w:rPr>
        <w:t xml:space="preserve">9.2 Dominio Cardiovascolare Lipidico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2E75B6" w:sz="1"/>
              <w:left w:val="single" w:color="2E75B6" w:sz="1"/>
              <w:bottom w:val="single" w:color="2E75B6" w:sz="1"/>
              <w:right w:val="single" w:color="2E75B6" w:sz="1"/>
            </w:tcBorders>
            <w:shd w:fill="BDD7EE" w:val="clear"/>
            <w:tcMar>
              <w:top w:type="dxa" w:w="80"/>
              <w:left w:type="dxa" w:w="100"/>
              <w:bottom w:type="dxa" w:w="80"/>
              <w:right w:type="dxa" w:w="100"/>
            </w:tcMar>
            <w:vAlign w:val="center"/>
          </w:tcPr>
          <w:p>
            <w:r>
              <w:rPr>
                <w:rFonts w:ascii="Arial" w:cs="Arial" w:eastAsia="Arial" w:hAnsi="Arial"/>
                <w:b/>
                <w:bCs/>
                <w:color w:val="1F4E79"/>
                <w:sz w:val="20"/>
                <w:szCs w:val="20"/>
              </w:rPr>
              <w:t xml:space="preserve">Score</w:t>
            </w:r>
          </w:p>
        </w:tc>
        <w:tc>
          <w:tcPr>
            <w:tcW w:type="dxa" w:w="3200"/>
            <w:tcBorders>
              <w:top w:val="single" w:color="2E75B6" w:sz="1"/>
              <w:left w:val="single" w:color="2E75B6" w:sz="1"/>
              <w:bottom w:val="single" w:color="2E75B6" w:sz="1"/>
              <w:right w:val="single" w:color="2E75B6" w:sz="1"/>
            </w:tcBorders>
            <w:shd w:fill="BDD7EE" w:val="clear"/>
            <w:tcMar>
              <w:top w:type="dxa" w:w="80"/>
              <w:left w:type="dxa" w:w="100"/>
              <w:bottom w:type="dxa" w:w="80"/>
              <w:right w:type="dxa" w:w="100"/>
            </w:tcMar>
            <w:vAlign w:val="center"/>
          </w:tcPr>
          <w:p>
            <w:r>
              <w:rPr>
                <w:rFonts w:ascii="Arial" w:cs="Arial" w:eastAsia="Arial" w:hAnsi="Arial"/>
                <w:b/>
                <w:bCs/>
                <w:color w:val="1F4E79"/>
                <w:sz w:val="20"/>
                <w:szCs w:val="20"/>
              </w:rPr>
              <w:t xml:space="preserve">Mediana [Q1–Q3]</w:t>
            </w:r>
          </w:p>
        </w:tc>
        <w:tc>
          <w:tcPr>
            <w:tcW w:type="dxa" w:w="3360"/>
            <w:tcBorders>
              <w:top w:val="single" w:color="2E75B6" w:sz="1"/>
              <w:left w:val="single" w:color="2E75B6" w:sz="1"/>
              <w:bottom w:val="single" w:color="2E75B6" w:sz="1"/>
              <w:right w:val="single" w:color="2E75B6" w:sz="1"/>
            </w:tcBorders>
            <w:shd w:fill="BDD7EE" w:val="clear"/>
            <w:tcMar>
              <w:top w:type="dxa" w:w="80"/>
              <w:left w:type="dxa" w:w="100"/>
              <w:bottom w:type="dxa" w:w="80"/>
              <w:right w:type="dxa" w:w="100"/>
            </w:tcMar>
            <w:vAlign w:val="center"/>
          </w:tcPr>
          <w:p>
            <w:r>
              <w:rPr>
                <w:rFonts w:ascii="Arial" w:cs="Arial" w:eastAsia="Arial" w:hAnsi="Arial"/>
                <w:b/>
                <w:bCs/>
                <w:color w:val="1F4E79"/>
                <w:sz w:val="20"/>
                <w:szCs w:val="20"/>
              </w:rPr>
              <w:t xml:space="preserve">Media ± Std</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Castelli Index I</w:t>
            </w:r>
          </w:p>
        </w:tc>
        <w:tc>
          <w:tcPr>
            <w:tcW w:type="dxa" w:w="3200"/>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3.24 [2.71–4.00]</w:t>
            </w:r>
          </w:p>
        </w:tc>
        <w:tc>
          <w:tcPr>
            <w:tcW w:type="dxa" w:w="3360"/>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3.45 ± 1.03</w:t>
            </w:r>
          </w:p>
        </w:tc>
      </w:tr>
      <w:tr>
        <w:tc>
          <w:tcPr>
            <w:tcW w:type="dxa" w:w="2800"/>
            <w:gridSpan w:val="1"/>
            <w:tcBorders>
              <w:top w:val="single" w:color="CCCCCC" w:sz="1"/>
              <w:left w:val="single" w:color="CCCCCC" w:sz="1"/>
              <w:bottom w:val="single" w:color="CCCCCC" w:sz="1"/>
              <w:right w:val="single" w:color="CCCCCC" w:sz="1"/>
            </w:tcBorders>
            <w:shd w:fill="F5F9FC"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Castelli Index II</w:t>
            </w:r>
          </w:p>
        </w:tc>
        <w:tc>
          <w:tcPr>
            <w:tcW w:type="dxa" w:w="3200"/>
            <w:gridSpan w:val="1"/>
            <w:tcBorders>
              <w:top w:val="single" w:color="CCCCCC" w:sz="1"/>
              <w:left w:val="single" w:color="CCCCCC" w:sz="1"/>
              <w:bottom w:val="single" w:color="CCCCCC" w:sz="1"/>
              <w:right w:val="single" w:color="CCCCCC" w:sz="1"/>
            </w:tcBorders>
            <w:shd w:fill="F5F9FC"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2.00 [1.49–2.70]</w:t>
            </w:r>
          </w:p>
        </w:tc>
        <w:tc>
          <w:tcPr>
            <w:tcW w:type="dxa" w:w="3360"/>
            <w:gridSpan w:val="1"/>
            <w:tcBorders>
              <w:top w:val="single" w:color="CCCCCC" w:sz="1"/>
              <w:left w:val="single" w:color="CCCCCC" w:sz="1"/>
              <w:bottom w:val="single" w:color="CCCCCC" w:sz="1"/>
              <w:right w:val="single" w:color="CCCCCC" w:sz="1"/>
            </w:tcBorders>
            <w:shd w:fill="F5F9FC"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2.16 ± 0.92</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Non-HDL Colesterolo</w:t>
            </w:r>
          </w:p>
        </w:tc>
        <w:tc>
          <w:tcPr>
            <w:tcW w:type="dxa" w:w="3200"/>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129 [105–156] mg/dL</w:t>
            </w:r>
          </w:p>
        </w:tc>
        <w:tc>
          <w:tcPr>
            <w:tcW w:type="dxa" w:w="3360"/>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131.6 ± 37.8</w:t>
            </w:r>
          </w:p>
        </w:tc>
      </w:tr>
    </w:tbl>
    <w:p>
      <w:pPr>
        <w:spacing w:after="120" w:before="0"/>
        <w:jc w:val="left"/>
      </w:pPr>
      <w:r>
        <w:rPr>
          <w:rFonts w:ascii="Arial" w:cs="Arial" w:eastAsia="Arial" w:hAnsi="Arial"/>
          <w:b w:val="false"/>
          <w:bCs w:val="false"/>
          <w:color w:val="000000"/>
          <w:sz w:val="24"/>
          <w:szCs w:val="24"/>
        </w:rPr>
        <w:t xml:space="preserve">La mediana del Castelli Index I (3.24) si colloca nell’area normale (&lt;3.5) ma prossima alla soglia borderline. Il Castelli II ha mediana esattamente al confine normale/borderline (2.0). Il Non-HDL Colesterolo con mediana 129 mg/dL è al limite della soglia normale.</w:t>
      </w:r>
    </w:p>
    <w:p>
      <w:pPr>
        <w:spacing w:after="0" w:before="0"/>
      </w:pPr>
      <w:r>
        <w:t xml:space="preserve"/>
      </w:r>
    </w:p>
    <w:p>
      <w:pPr>
        <w:pStyle w:val="Heading2"/>
        <w:spacing w:after="120" w:before="240"/>
      </w:pPr>
      <w:r>
        <w:rPr>
          <w:rFonts w:ascii="Arial" w:cs="Arial" w:eastAsia="Arial" w:hAnsi="Arial"/>
          <w:b/>
          <w:bCs/>
          <w:color w:val="2E75B6"/>
          <w:sz w:val="26"/>
          <w:szCs w:val="26"/>
        </w:rPr>
        <w:t xml:space="preserve">9.3 Dominio Infiammatorio / Inflammaging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700"/>
        <w:gridCol w:w="2060"/>
      </w:tblGrid>
      <w:tr>
        <w:tc>
          <w:tcPr>
            <w:tcW w:type="dxa" w:w="1800"/>
            <w:tcBorders>
              <w:top w:val="single" w:color="2E75B6" w:sz="1"/>
              <w:left w:val="single" w:color="2E75B6" w:sz="1"/>
              <w:bottom w:val="single" w:color="2E75B6" w:sz="1"/>
              <w:right w:val="single" w:color="2E75B6" w:sz="1"/>
            </w:tcBorders>
            <w:shd w:fill="BDD7EE" w:val="clear"/>
            <w:tcMar>
              <w:top w:type="dxa" w:w="80"/>
              <w:left w:type="dxa" w:w="100"/>
              <w:bottom w:type="dxa" w:w="80"/>
              <w:right w:type="dxa" w:w="100"/>
            </w:tcMar>
            <w:vAlign w:val="center"/>
          </w:tcPr>
          <w:p>
            <w:r>
              <w:rPr>
                <w:rFonts w:ascii="Arial" w:cs="Arial" w:eastAsia="Arial" w:hAnsi="Arial"/>
                <w:b/>
                <w:bCs/>
                <w:color w:val="1F4E79"/>
                <w:sz w:val="20"/>
                <w:szCs w:val="20"/>
              </w:rPr>
              <w:t xml:space="preserve">Score</w:t>
            </w:r>
          </w:p>
        </w:tc>
        <w:tc>
          <w:tcPr>
            <w:tcW w:type="dxa" w:w="2800"/>
            <w:tcBorders>
              <w:top w:val="single" w:color="2E75B6" w:sz="1"/>
              <w:left w:val="single" w:color="2E75B6" w:sz="1"/>
              <w:bottom w:val="single" w:color="2E75B6" w:sz="1"/>
              <w:right w:val="single" w:color="2E75B6" w:sz="1"/>
            </w:tcBorders>
            <w:shd w:fill="BDD7EE" w:val="clear"/>
            <w:tcMar>
              <w:top w:type="dxa" w:w="80"/>
              <w:left w:type="dxa" w:w="100"/>
              <w:bottom w:type="dxa" w:w="80"/>
              <w:right w:type="dxa" w:w="100"/>
            </w:tcMar>
            <w:vAlign w:val="center"/>
          </w:tcPr>
          <w:p>
            <w:r>
              <w:rPr>
                <w:rFonts w:ascii="Arial" w:cs="Arial" w:eastAsia="Arial" w:hAnsi="Arial"/>
                <w:b/>
                <w:bCs/>
                <w:color w:val="1F4E79"/>
                <w:sz w:val="20"/>
                <w:szCs w:val="20"/>
              </w:rPr>
              <w:t xml:space="preserve">Mediana [Q1–Q3]</w:t>
            </w:r>
          </w:p>
        </w:tc>
        <w:tc>
          <w:tcPr>
            <w:tcW w:type="dxa" w:w="2700"/>
            <w:tcBorders>
              <w:top w:val="single" w:color="2E75B6" w:sz="1"/>
              <w:left w:val="single" w:color="2E75B6" w:sz="1"/>
              <w:bottom w:val="single" w:color="2E75B6" w:sz="1"/>
              <w:right w:val="single" w:color="2E75B6" w:sz="1"/>
            </w:tcBorders>
            <w:shd w:fill="BDD7EE" w:val="clear"/>
            <w:tcMar>
              <w:top w:type="dxa" w:w="80"/>
              <w:left w:type="dxa" w:w="100"/>
              <w:bottom w:type="dxa" w:w="80"/>
              <w:right w:type="dxa" w:w="100"/>
            </w:tcMar>
            <w:vAlign w:val="center"/>
          </w:tcPr>
          <w:p>
            <w:r>
              <w:rPr>
                <w:rFonts w:ascii="Arial" w:cs="Arial" w:eastAsia="Arial" w:hAnsi="Arial"/>
                <w:b/>
                <w:bCs/>
                <w:color w:val="1F4E79"/>
                <w:sz w:val="20"/>
                <w:szCs w:val="20"/>
              </w:rPr>
              <w:t xml:space="preserve">Media ± Std</w:t>
            </w:r>
          </w:p>
        </w:tc>
        <w:tc>
          <w:tcPr>
            <w:tcW w:type="dxa" w:w="2060"/>
            <w:tcBorders>
              <w:top w:val="single" w:color="2E75B6" w:sz="1"/>
              <w:left w:val="single" w:color="2E75B6" w:sz="1"/>
              <w:bottom w:val="single" w:color="2E75B6" w:sz="1"/>
              <w:right w:val="single" w:color="2E75B6" w:sz="1"/>
            </w:tcBorders>
            <w:shd w:fill="BDD7EE" w:val="clear"/>
            <w:tcMar>
              <w:top w:type="dxa" w:w="80"/>
              <w:left w:type="dxa" w:w="100"/>
              <w:bottom w:type="dxa" w:w="80"/>
              <w:right w:type="dxa" w:w="100"/>
            </w:tcMar>
            <w:vAlign w:val="center"/>
          </w:tcPr>
          <w:p>
            <w:r>
              <w:rPr>
                <w:rFonts w:ascii="Arial" w:cs="Arial" w:eastAsia="Arial" w:hAnsi="Arial"/>
                <w:b/>
                <w:bCs/>
                <w:color w:val="1F4E79"/>
                <w:sz w:val="20"/>
                <w:szCs w:val="20"/>
              </w:rPr>
              <w:t xml:space="preserve">% &gt; soglia alto</w:t>
            </w:r>
          </w:p>
        </w:tc>
      </w:tr>
      <w:tr>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NLR</w:t>
            </w:r>
          </w:p>
        </w:tc>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1.59 [1.22–2.09]</w:t>
            </w:r>
          </w:p>
        </w:tc>
        <w:tc>
          <w:tcPr>
            <w:tcW w:type="dxa" w:w="2700"/>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1.77 ± 0.96</w:t>
            </w:r>
          </w:p>
        </w:tc>
        <w:tc>
          <w:tcPr>
            <w:tcW w:type="dxa" w:w="2060"/>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7.0% (&gt; 3.0)</w:t>
            </w:r>
          </w:p>
        </w:tc>
      </w:tr>
      <w:tr>
        <w:tc>
          <w:tcPr>
            <w:tcW w:type="dxa" w:w="1800"/>
            <w:gridSpan w:val="1"/>
            <w:tcBorders>
              <w:top w:val="single" w:color="CCCCCC" w:sz="1"/>
              <w:left w:val="single" w:color="CCCCCC" w:sz="1"/>
              <w:bottom w:val="single" w:color="CCCCCC" w:sz="1"/>
              <w:right w:val="single" w:color="CCCCCC" w:sz="1"/>
            </w:tcBorders>
            <w:shd w:fill="F5F9FC"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PLR</w:t>
            </w:r>
          </w:p>
        </w:tc>
        <w:tc>
          <w:tcPr>
            <w:tcW w:type="dxa" w:w="2800"/>
            <w:gridSpan w:val="1"/>
            <w:tcBorders>
              <w:top w:val="single" w:color="CCCCCC" w:sz="1"/>
              <w:left w:val="single" w:color="CCCCCC" w:sz="1"/>
              <w:bottom w:val="single" w:color="CCCCCC" w:sz="1"/>
              <w:right w:val="single" w:color="CCCCCC" w:sz="1"/>
            </w:tcBorders>
            <w:shd w:fill="F5F9FC"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115.5 [92.3–143.2]</w:t>
            </w:r>
          </w:p>
        </w:tc>
        <w:tc>
          <w:tcPr>
            <w:tcW w:type="dxa" w:w="2700"/>
            <w:gridSpan w:val="1"/>
            <w:tcBorders>
              <w:top w:val="single" w:color="CCCCCC" w:sz="1"/>
              <w:left w:val="single" w:color="CCCCCC" w:sz="1"/>
              <w:bottom w:val="single" w:color="CCCCCC" w:sz="1"/>
              <w:right w:val="single" w:color="CCCCCC" w:sz="1"/>
            </w:tcBorders>
            <w:shd w:fill="F5F9FC"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122.5 ± 45.8</w:t>
            </w:r>
          </w:p>
        </w:tc>
        <w:tc>
          <w:tcPr>
            <w:tcW w:type="dxa" w:w="2060"/>
            <w:gridSpan w:val="1"/>
            <w:tcBorders>
              <w:top w:val="single" w:color="CCCCCC" w:sz="1"/>
              <w:left w:val="single" w:color="CCCCCC" w:sz="1"/>
              <w:bottom w:val="single" w:color="CCCCCC" w:sz="1"/>
              <w:right w:val="single" w:color="CCCCCC" w:sz="1"/>
            </w:tcBorders>
            <w:shd w:fill="F5F9FC"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 (&gt; 150)</w:t>
            </w:r>
          </w:p>
        </w:tc>
      </w:tr>
      <w:tr>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SII</w:t>
            </w:r>
          </w:p>
        </w:tc>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381.8 [280.2–525.7]</w:t>
            </w:r>
          </w:p>
        </w:tc>
        <w:tc>
          <w:tcPr>
            <w:tcW w:type="dxa" w:w="2700"/>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442.4 ± 290.2</w:t>
            </w:r>
          </w:p>
        </w:tc>
        <w:tc>
          <w:tcPr>
            <w:tcW w:type="dxa" w:w="2060"/>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3.3% (&gt; 1.000)</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2"/>
              <w:bottom w:val="single" w:color="2E75B6" w:sz="1"/>
              <w:right w:val="single" w:color="2E75B6" w:sz="1"/>
            </w:tcBorders>
            <w:shd w:fill="D6E4F0" w:val="clear"/>
            <w:tcMar>
              <w:top w:type="dxa" w:w="100"/>
              <w:left w:type="dxa" w:w="180"/>
              <w:bottom w:type="dxa" w:w="100"/>
              <w:right w:type="dxa" w:w="180"/>
            </w:tcMar>
          </w:tcPr>
          <w:p>
            <w:pPr>
              <w:spacing w:after="60" w:before="0"/>
            </w:pPr>
            <w:r>
              <w:rPr>
                <w:rFonts w:ascii="Arial" w:cs="Arial" w:eastAsia="Arial" w:hAnsi="Arial"/>
                <w:b/>
                <w:bCs/>
                <w:sz w:val="22"/>
                <w:szCs w:val="22"/>
              </w:rPr>
              <w:t xml:space="preserve">Nota interpretativa — Indici Infiammatori</w:t>
            </w:r>
          </w:p>
          <w:p>
            <w:pPr>
              <w:spacing w:after="40" w:before="0"/>
            </w:pPr>
            <w:r>
              <w:rPr>
                <w:rFonts w:ascii="Arial" w:cs="Arial" w:eastAsia="Arial" w:hAnsi="Arial"/>
                <w:sz w:val="20"/>
                <w:szCs w:val="20"/>
              </w:rPr>
              <w:t xml:space="preserve">NLR, PLR e SII sono indici di inflammaging derivati dall’emocromo. Un NLR elevato è associato a risposta infiammatoria cronica, stress ossidativo e accelerazione biologica.</w:t>
            </w:r>
          </w:p>
          <w:p>
            <w:pPr>
              <w:spacing w:after="40" w:before="0"/>
            </w:pPr>
            <w:r>
              <w:rPr>
                <w:rFonts w:ascii="Arial" w:cs="Arial" w:eastAsia="Arial" w:hAnsi="Arial"/>
                <w:sz w:val="20"/>
                <w:szCs w:val="20"/>
              </w:rPr>
              <w:t xml:space="preserve">La coerenza interna tra i tre indici (tutti con mediana in zona normale ma code superiori significative) suggerisce che il campione include una sottopopolazione con inflammaging attivo, identificabile come candidato a età biologica accelerata.</w:t>
            </w:r>
          </w:p>
          <w:p>
            <w:pPr>
              <w:spacing w:after="40" w:before="0"/>
            </w:pPr>
            <w:r>
              <w:rPr>
                <w:rFonts w:ascii="Arial" w:cs="Arial" w:eastAsia="Arial" w:hAnsi="Arial"/>
                <w:sz w:val="20"/>
                <w:szCs w:val="20"/>
              </w:rPr>
              <w:t xml:space="preserve">Il 7.0% dei pazienti con NLR ≥ 3 e il 3.3% con SII &gt; 1.000 costituiscono potenziali outlier biologici da monitorare nel modello.</w:t>
            </w:r>
          </w:p>
        </w:tc>
      </w:tr>
    </w:tbl>
    <w:p>
      <w:pPr>
        <w:spacing w:after="0" w:before="0"/>
      </w:pPr>
      <w:r>
        <w:t xml:space="preserve"/>
      </w:r>
    </w:p>
    <w:p>
      <w:pPr>
        <w:pStyle w:val="Heading2"/>
        <w:spacing w:after="120" w:before="240"/>
      </w:pPr>
      <w:r>
        <w:rPr>
          <w:rFonts w:ascii="Arial" w:cs="Arial" w:eastAsia="Arial" w:hAnsi="Arial"/>
          <w:b/>
          <w:bCs/>
          <w:color w:val="2E75B6"/>
          <w:sz w:val="26"/>
          <w:szCs w:val="26"/>
        </w:rPr>
        <w:t xml:space="preserve">9.4 Dominio Renale — Urea/Creatinina</w:t>
      </w:r>
    </w:p>
    <w:p>
      <w:pPr>
        <w:spacing w:after="120" w:before="0"/>
        <w:jc w:val="left"/>
      </w:pPr>
      <w:r>
        <w:rPr>
          <w:rFonts w:ascii="Arial" w:cs="Arial" w:eastAsia="Arial" w:hAnsi="Arial"/>
          <w:b w:val="false"/>
          <w:bCs w:val="false"/>
          <w:color w:val="000000"/>
          <w:sz w:val="24"/>
          <w:szCs w:val="24"/>
        </w:rPr>
        <w:t xml:space="preserve">Come dettagliato nella Sezione 7, il rapporto Urea/Creatinina è sistematicamente anomalo nel 99.8% del campione. La mediana di 42.5 è più del doppio del limite superiore del range atteso (20).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2E75B6" w:sz="1"/>
              <w:left w:val="single" w:color="2E75B6" w:sz="1"/>
              <w:bottom w:val="single" w:color="2E75B6" w:sz="1"/>
              <w:right w:val="single" w:color="2E75B6" w:sz="1"/>
            </w:tcBorders>
            <w:shd w:fill="BDD7EE" w:val="clear"/>
            <w:tcMar>
              <w:top w:type="dxa" w:w="80"/>
              <w:left w:type="dxa" w:w="100"/>
              <w:bottom w:type="dxa" w:w="80"/>
              <w:right w:type="dxa" w:w="100"/>
            </w:tcMar>
            <w:vAlign w:val="center"/>
          </w:tcPr>
          <w:p>
            <w:r>
              <w:rPr>
                <w:rFonts w:ascii="Arial" w:cs="Arial" w:eastAsia="Arial" w:hAnsi="Arial"/>
                <w:b/>
                <w:bCs/>
                <w:color w:val="1F4E79"/>
                <w:sz w:val="20"/>
                <w:szCs w:val="20"/>
              </w:rPr>
              <w:t xml:space="preserve">Statistica</w:t>
            </w:r>
          </w:p>
        </w:tc>
        <w:tc>
          <w:tcPr>
            <w:tcW w:type="dxa" w:w="5160"/>
            <w:tcBorders>
              <w:top w:val="single" w:color="2E75B6" w:sz="1"/>
              <w:left w:val="single" w:color="2E75B6" w:sz="1"/>
              <w:bottom w:val="single" w:color="2E75B6" w:sz="1"/>
              <w:right w:val="single" w:color="2E75B6" w:sz="1"/>
            </w:tcBorders>
            <w:shd w:fill="BDD7EE" w:val="clear"/>
            <w:tcMar>
              <w:top w:type="dxa" w:w="80"/>
              <w:left w:type="dxa" w:w="100"/>
              <w:bottom w:type="dxa" w:w="80"/>
              <w:right w:type="dxa" w:w="100"/>
            </w:tcMar>
            <w:vAlign w:val="center"/>
          </w:tcPr>
          <w:p>
            <w:r>
              <w:rPr>
                <w:rFonts w:ascii="Arial" w:cs="Arial" w:eastAsia="Arial" w:hAnsi="Arial"/>
                <w:b/>
                <w:bCs/>
                <w:color w:val="1F4E79"/>
                <w:sz w:val="20"/>
                <w:szCs w:val="20"/>
              </w:rPr>
              <w:t xml:space="preserve">Valore</w:t>
            </w:r>
          </w:p>
        </w:tc>
      </w:tr>
      <w:tr>
        <w:tc>
          <w:tcPr>
            <w:tcW w:type="dxa" w:w="4200"/>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Mediana [Q1–Q3]</w:t>
            </w:r>
          </w:p>
        </w:tc>
        <w:tc>
          <w:tcPr>
            <w:tcW w:type="dxa" w:w="5160"/>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42.5 [35.6–51.0]</w:t>
            </w:r>
          </w:p>
        </w:tc>
      </w:tr>
      <w:tr>
        <w:tc>
          <w:tcPr>
            <w:tcW w:type="dxa" w:w="4200"/>
            <w:gridSpan w:val="1"/>
            <w:tcBorders>
              <w:top w:val="single" w:color="CCCCCC" w:sz="1"/>
              <w:left w:val="single" w:color="CCCCCC" w:sz="1"/>
              <w:bottom w:val="single" w:color="CCCCCC" w:sz="1"/>
              <w:right w:val="single" w:color="CCCCCC" w:sz="1"/>
            </w:tcBorders>
            <w:shd w:fill="F5F9FC"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Media ± Std</w:t>
            </w:r>
          </w:p>
        </w:tc>
        <w:tc>
          <w:tcPr>
            <w:tcW w:type="dxa" w:w="5160"/>
            <w:gridSpan w:val="1"/>
            <w:tcBorders>
              <w:top w:val="single" w:color="CCCCCC" w:sz="1"/>
              <w:left w:val="single" w:color="CCCCCC" w:sz="1"/>
              <w:bottom w:val="single" w:color="CCCCCC" w:sz="1"/>
              <w:right w:val="single" w:color="CCCCCC" w:sz="1"/>
            </w:tcBorders>
            <w:shd w:fill="F5F9FC"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44.2 ± 12.2</w:t>
            </w:r>
          </w:p>
        </w:tc>
      </w:tr>
      <w:tr>
        <w:tc>
          <w:tcPr>
            <w:tcW w:type="dxa" w:w="4200"/>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 pazienti con rapporto &gt; 20</w:t>
            </w:r>
          </w:p>
        </w:tc>
        <w:tc>
          <w:tcPr>
            <w:tcW w:type="dxa" w:w="5160"/>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99.8%</w:t>
            </w:r>
          </w:p>
        </w:tc>
      </w:tr>
      <w:tr>
        <w:tc>
          <w:tcPr>
            <w:tcW w:type="dxa" w:w="4200"/>
            <w:gridSpan w:val="1"/>
            <w:tcBorders>
              <w:top w:val="single" w:color="CCCCCC" w:sz="1"/>
              <w:left w:val="single" w:color="CCCCCC" w:sz="1"/>
              <w:bottom w:val="single" w:color="CCCCCC" w:sz="1"/>
              <w:right w:val="single" w:color="CCCCCC" w:sz="1"/>
            </w:tcBorders>
            <w:shd w:fill="F5F9FC"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 pazienti nel range normale (10–20)</w:t>
            </w:r>
          </w:p>
        </w:tc>
        <w:tc>
          <w:tcPr>
            <w:tcW w:type="dxa" w:w="5160"/>
            <w:gridSpan w:val="1"/>
            <w:tcBorders>
              <w:top w:val="single" w:color="CCCCCC" w:sz="1"/>
              <w:left w:val="single" w:color="CCCCCC" w:sz="1"/>
              <w:bottom w:val="single" w:color="CCCCCC" w:sz="1"/>
              <w:right w:val="single" w:color="CCCCCC" w:sz="1"/>
            </w:tcBorders>
            <w:shd w:fill="F5F9FC"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0.2%</w:t>
            </w:r>
          </w:p>
        </w:tc>
      </w:tr>
    </w:tbl>
    <w:p>
      <w:pPr>
        <w:spacing w:after="0" w:before="0"/>
      </w:pPr>
      <w:r>
        <w:t xml:space="preserve"/>
      </w:r>
    </w:p>
    <w:p>
      <w:pPr>
        <w:pStyle w:val="Heading1"/>
        <w:spacing w:after="180" w:before="360"/>
      </w:pPr>
      <w:r>
        <w:rPr>
          <w:rFonts w:ascii="Arial" w:cs="Arial" w:eastAsia="Arial" w:hAnsi="Arial"/>
          <w:b/>
          <w:bCs/>
          <w:color w:val="1F4E79"/>
          <w:sz w:val="32"/>
          <w:szCs w:val="32"/>
        </w:rPr>
        <w:t xml:space="preserve">10. Riepilogo delle Scelte di Pre-processing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000"/>
        <w:gridCol w:w="3960"/>
      </w:tblGrid>
      <w:tr>
        <w:tc>
          <w:tcPr>
            <w:tcW w:type="dxa" w:w="2200"/>
            <w:tcBorders>
              <w:top w:val="single" w:color="2E75B6" w:sz="1"/>
              <w:left w:val="single" w:color="2E75B6" w:sz="1"/>
              <w:bottom w:val="single" w:color="2E75B6" w:sz="1"/>
              <w:right w:val="single" w:color="2E75B6" w:sz="1"/>
            </w:tcBorders>
            <w:shd w:fill="BDD7EE" w:val="clear"/>
            <w:tcMar>
              <w:top w:type="dxa" w:w="80"/>
              <w:left w:type="dxa" w:w="100"/>
              <w:bottom w:type="dxa" w:w="80"/>
              <w:right w:type="dxa" w:w="100"/>
            </w:tcMar>
            <w:vAlign w:val="center"/>
          </w:tcPr>
          <w:p>
            <w:r>
              <w:rPr>
                <w:rFonts w:ascii="Arial" w:cs="Arial" w:eastAsia="Arial" w:hAnsi="Arial"/>
                <w:b/>
                <w:bCs/>
                <w:color w:val="1F4E79"/>
                <w:sz w:val="20"/>
                <w:szCs w:val="20"/>
              </w:rPr>
              <w:t xml:space="preserve">Problema</w:t>
            </w:r>
          </w:p>
        </w:tc>
        <w:tc>
          <w:tcPr>
            <w:tcW w:type="dxa" w:w="1200"/>
            <w:tcBorders>
              <w:top w:val="single" w:color="2E75B6" w:sz="1"/>
              <w:left w:val="single" w:color="2E75B6" w:sz="1"/>
              <w:bottom w:val="single" w:color="2E75B6" w:sz="1"/>
              <w:right w:val="single" w:color="2E75B6" w:sz="1"/>
            </w:tcBorders>
            <w:shd w:fill="BDD7EE" w:val="clear"/>
            <w:tcMar>
              <w:top w:type="dxa" w:w="80"/>
              <w:left w:type="dxa" w:w="100"/>
              <w:bottom w:type="dxa" w:w="80"/>
              <w:right w:type="dxa" w:w="100"/>
            </w:tcMar>
            <w:vAlign w:val="center"/>
          </w:tcPr>
          <w:p>
            <w:r>
              <w:rPr>
                <w:rFonts w:ascii="Arial" w:cs="Arial" w:eastAsia="Arial" w:hAnsi="Arial"/>
                <w:b/>
                <w:bCs/>
                <w:color w:val="1F4E79"/>
                <w:sz w:val="20"/>
                <w:szCs w:val="20"/>
              </w:rPr>
              <w:t xml:space="preserve">Entità</w:t>
            </w:r>
          </w:p>
        </w:tc>
        <w:tc>
          <w:tcPr>
            <w:tcW w:type="dxa" w:w="2000"/>
            <w:tcBorders>
              <w:top w:val="single" w:color="2E75B6" w:sz="1"/>
              <w:left w:val="single" w:color="2E75B6" w:sz="1"/>
              <w:bottom w:val="single" w:color="2E75B6" w:sz="1"/>
              <w:right w:val="single" w:color="2E75B6" w:sz="1"/>
            </w:tcBorders>
            <w:shd w:fill="BDD7EE" w:val="clear"/>
            <w:tcMar>
              <w:top w:type="dxa" w:w="80"/>
              <w:left w:type="dxa" w:w="100"/>
              <w:bottom w:type="dxa" w:w="80"/>
              <w:right w:type="dxa" w:w="100"/>
            </w:tcMar>
            <w:vAlign w:val="center"/>
          </w:tcPr>
          <w:p>
            <w:r>
              <w:rPr>
                <w:rFonts w:ascii="Arial" w:cs="Arial" w:eastAsia="Arial" w:hAnsi="Arial"/>
                <w:b/>
                <w:bCs/>
                <w:color w:val="1F4E79"/>
                <w:sz w:val="20"/>
                <w:szCs w:val="20"/>
              </w:rPr>
              <w:t xml:space="preserve">Scelta adottata</w:t>
            </w:r>
          </w:p>
        </w:tc>
        <w:tc>
          <w:tcPr>
            <w:tcW w:type="dxa" w:w="3960"/>
            <w:tcBorders>
              <w:top w:val="single" w:color="2E75B6" w:sz="1"/>
              <w:left w:val="single" w:color="2E75B6" w:sz="1"/>
              <w:bottom w:val="single" w:color="2E75B6" w:sz="1"/>
              <w:right w:val="single" w:color="2E75B6" w:sz="1"/>
            </w:tcBorders>
            <w:shd w:fill="BDD7EE" w:val="clear"/>
            <w:tcMar>
              <w:top w:type="dxa" w:w="80"/>
              <w:left w:type="dxa" w:w="100"/>
              <w:bottom w:type="dxa" w:w="80"/>
              <w:right w:type="dxa" w:w="100"/>
            </w:tcMar>
            <w:vAlign w:val="center"/>
          </w:tcPr>
          <w:p>
            <w:r>
              <w:rPr>
                <w:rFonts w:ascii="Arial" w:cs="Arial" w:eastAsia="Arial" w:hAnsi="Arial"/>
                <w:b/>
                <w:bCs/>
                <w:color w:val="1F4E79"/>
                <w:sz w:val="20"/>
                <w:szCs w:val="20"/>
              </w:rPr>
              <w:t xml:space="preserve">Motivazione</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Pazienti &lt; 18 anni</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251</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Esclusione</w:t>
            </w:r>
          </w:p>
        </w:tc>
        <w:tc>
          <w:tcPr>
            <w:tcW w:type="dxa" w:w="3960"/>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Campione insufficiente; biologia pediatrica diversa</w:t>
            </w:r>
          </w:p>
        </w:tc>
      </w:tr>
      <w:tr>
        <w:tc>
          <w:tcPr>
            <w:tcW w:type="dxa" w:w="2200"/>
            <w:gridSpan w:val="1"/>
            <w:tcBorders>
              <w:top w:val="single" w:color="CCCCCC" w:sz="1"/>
              <w:left w:val="single" w:color="CCCCCC" w:sz="1"/>
              <w:bottom w:val="single" w:color="CCCCCC" w:sz="1"/>
              <w:right w:val="single" w:color="CCCCCC" w:sz="1"/>
            </w:tcBorders>
            <w:shd w:fill="F5F9FC"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Pazienti &gt; 90 anni</w:t>
            </w:r>
          </w:p>
        </w:tc>
        <w:tc>
          <w:tcPr>
            <w:tcW w:type="dxa" w:w="1200"/>
            <w:gridSpan w:val="1"/>
            <w:tcBorders>
              <w:top w:val="single" w:color="CCCCCC" w:sz="1"/>
              <w:left w:val="single" w:color="CCCCCC" w:sz="1"/>
              <w:bottom w:val="single" w:color="CCCCCC" w:sz="1"/>
              <w:right w:val="single" w:color="CCCCCC" w:sz="1"/>
            </w:tcBorders>
            <w:shd w:fill="F5F9FC"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320</w:t>
            </w:r>
          </w:p>
        </w:tc>
        <w:tc>
          <w:tcPr>
            <w:tcW w:type="dxa" w:w="2000"/>
            <w:gridSpan w:val="1"/>
            <w:tcBorders>
              <w:top w:val="single" w:color="CCCCCC" w:sz="1"/>
              <w:left w:val="single" w:color="CCCCCC" w:sz="1"/>
              <w:bottom w:val="single" w:color="CCCCCC" w:sz="1"/>
              <w:right w:val="single" w:color="CCCCCC" w:sz="1"/>
            </w:tcBorders>
            <w:shd w:fill="F5F9FC"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Esclusione</w:t>
            </w:r>
          </w:p>
        </w:tc>
        <w:tc>
          <w:tcPr>
            <w:tcW w:type="dxa" w:w="3960"/>
            <w:gridSpan w:val="1"/>
            <w:tcBorders>
              <w:top w:val="single" w:color="CCCCCC" w:sz="1"/>
              <w:left w:val="single" w:color="CCCCCC" w:sz="1"/>
              <w:bottom w:val="single" w:color="CCCCCC" w:sz="1"/>
              <w:right w:val="single" w:color="CCCCCC" w:sz="1"/>
            </w:tcBorders>
            <w:shd w:fill="F5F9FC"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Campione insufficiente; rischio overfitting</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Valori ≤ 0 (impossibili)</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0 rilevati</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Check esplicito nel codice</w:t>
            </w:r>
          </w:p>
        </w:tc>
        <w:tc>
          <w:tcPr>
            <w:tcW w:type="dxa" w:w="3960"/>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Garanzia di integrità biologica</w:t>
            </w:r>
          </w:p>
        </w:tc>
      </w:tr>
      <w:tr>
        <w:tc>
          <w:tcPr>
            <w:tcW w:type="dxa" w:w="2200"/>
            <w:gridSpan w:val="1"/>
            <w:tcBorders>
              <w:top w:val="single" w:color="CCCCCC" w:sz="1"/>
              <w:left w:val="single" w:color="CCCCCC" w:sz="1"/>
              <w:bottom w:val="single" w:color="CCCCCC" w:sz="1"/>
              <w:right w:val="single" w:color="CCCCCC" w:sz="1"/>
            </w:tcBorders>
            <w:shd w:fill="F5F9FC"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Outlier ULN×4</w:t>
            </w:r>
          </w:p>
        </w:tc>
        <w:tc>
          <w:tcPr>
            <w:tcW w:type="dxa" w:w="1200"/>
            <w:gridSpan w:val="1"/>
            <w:tcBorders>
              <w:top w:val="single" w:color="CCCCCC" w:sz="1"/>
              <w:left w:val="single" w:color="CCCCCC" w:sz="1"/>
              <w:bottom w:val="single" w:color="CCCCCC" w:sz="1"/>
              <w:right w:val="single" w:color="CCCCCC" w:sz="1"/>
            </w:tcBorders>
            <w:shd w:fill="F5F9FC"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25 record</w:t>
            </w:r>
          </w:p>
        </w:tc>
        <w:tc>
          <w:tcPr>
            <w:tcW w:type="dxa" w:w="2000"/>
            <w:gridSpan w:val="1"/>
            <w:tcBorders>
              <w:top w:val="single" w:color="CCCCCC" w:sz="1"/>
              <w:left w:val="single" w:color="CCCCCC" w:sz="1"/>
              <w:bottom w:val="single" w:color="CCCCCC" w:sz="1"/>
              <w:right w:val="single" w:color="CCCCCC" w:sz="1"/>
            </w:tcBorders>
            <w:shd w:fill="F5F9FC"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Eliminazione del record</w:t>
            </w:r>
          </w:p>
        </w:tc>
        <w:tc>
          <w:tcPr>
            <w:tcW w:type="dxa" w:w="3960"/>
            <w:gridSpan w:val="1"/>
            <w:tcBorders>
              <w:top w:val="single" w:color="CCCCCC" w:sz="1"/>
              <w:left w:val="single" w:color="CCCCCC" w:sz="1"/>
              <w:bottom w:val="single" w:color="CCCCCC" w:sz="1"/>
              <w:right w:val="single" w:color="CCCCCC" w:sz="1"/>
            </w:tcBorders>
            <w:shd w:fill="F5F9FC"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Probabile errore di inserimento</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Età invariata tra esami multipli</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Da quantificare</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Esclusione del paziente</w:t>
            </w:r>
          </w:p>
        </w:tc>
        <w:tc>
          <w:tcPr>
            <w:tcW w:type="dxa" w:w="3960"/>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Errore sul target — compromette addestramento</w:t>
            </w:r>
          </w:p>
        </w:tc>
      </w:tr>
      <w:tr>
        <w:tc>
          <w:tcPr>
            <w:tcW w:type="dxa" w:w="2200"/>
            <w:gridSpan w:val="1"/>
            <w:tcBorders>
              <w:top w:val="single" w:color="CCCCCC" w:sz="1"/>
              <w:left w:val="single" w:color="CCCCCC" w:sz="1"/>
              <w:bottom w:val="single" w:color="CCCCCC" w:sz="1"/>
              <w:right w:val="single" w:color="CCCCCC" w:sz="1"/>
            </w:tcBorders>
            <w:shd w:fill="F5F9FC"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Outlier nei grafici</w:t>
            </w:r>
          </w:p>
        </w:tc>
        <w:tc>
          <w:tcPr>
            <w:tcW w:type="dxa" w:w="1200"/>
            <w:gridSpan w:val="1"/>
            <w:tcBorders>
              <w:top w:val="single" w:color="CCCCCC" w:sz="1"/>
              <w:left w:val="single" w:color="CCCCCC" w:sz="1"/>
              <w:bottom w:val="single" w:color="CCCCCC" w:sz="1"/>
              <w:right w:val="single" w:color="CCCCCC" w:sz="1"/>
            </w:tcBorders>
            <w:shd w:fill="F5F9FC"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Tutti i plot</w:t>
            </w:r>
          </w:p>
        </w:tc>
        <w:tc>
          <w:tcPr>
            <w:tcW w:type="dxa" w:w="2000"/>
            <w:gridSpan w:val="1"/>
            <w:tcBorders>
              <w:top w:val="single" w:color="CCCCCC" w:sz="1"/>
              <w:left w:val="single" w:color="CCCCCC" w:sz="1"/>
              <w:bottom w:val="single" w:color="CCCCCC" w:sz="1"/>
              <w:right w:val="single" w:color="CCCCCC" w:sz="1"/>
            </w:tcBorders>
            <w:shd w:fill="F5F9FC"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showfliers=False + clip p1–p99</w:t>
            </w:r>
          </w:p>
        </w:tc>
        <w:tc>
          <w:tcPr>
            <w:tcW w:type="dxa" w:w="3960"/>
            <w:gridSpan w:val="1"/>
            <w:tcBorders>
              <w:top w:val="single" w:color="CCCCCC" w:sz="1"/>
              <w:left w:val="single" w:color="CCCCCC" w:sz="1"/>
              <w:bottom w:val="single" w:color="CCCCCC" w:sz="1"/>
              <w:right w:val="single" w:color="CCCCCC" w:sz="1"/>
            </w:tcBorders>
            <w:shd w:fill="F5F9FC"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Visualizzazione non distorta da valori estremi</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Bug FIB-4 e De Ritis</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2 score</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Formule corrette nel notebook</w:t>
            </w:r>
          </w:p>
        </w:tc>
        <w:tc>
          <w:tcPr>
            <w:tcW w:type="dxa" w:w="3960"/>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Calcoli ora allineati alla letteratura</w:t>
            </w:r>
          </w:p>
        </w:tc>
      </w:tr>
      <w:tr>
        <w:tc>
          <w:tcPr>
            <w:tcW w:type="dxa" w:w="2200"/>
            <w:gridSpan w:val="1"/>
            <w:tcBorders>
              <w:top w:val="single" w:color="CCCCCC" w:sz="1"/>
              <w:left w:val="single" w:color="CCCCCC" w:sz="1"/>
              <w:bottom w:val="single" w:color="CCCCCC" w:sz="1"/>
              <w:right w:val="single" w:color="CCCCCC" w:sz="1"/>
            </w:tcBorders>
            <w:shd w:fill="F5F9FC"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Anomalia Urea/Creatinina</w:t>
            </w:r>
          </w:p>
        </w:tc>
        <w:tc>
          <w:tcPr>
            <w:tcW w:type="dxa" w:w="1200"/>
            <w:gridSpan w:val="1"/>
            <w:tcBorders>
              <w:top w:val="single" w:color="CCCCCC" w:sz="1"/>
              <w:left w:val="single" w:color="CCCCCC" w:sz="1"/>
              <w:bottom w:val="single" w:color="CCCCCC" w:sz="1"/>
              <w:right w:val="single" w:color="CCCCCC" w:sz="1"/>
            </w:tcBorders>
            <w:shd w:fill="F5F9FC"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99.8% campione</w:t>
            </w:r>
          </w:p>
        </w:tc>
        <w:tc>
          <w:tcPr>
            <w:tcW w:type="dxa" w:w="2000"/>
            <w:gridSpan w:val="1"/>
            <w:tcBorders>
              <w:top w:val="single" w:color="CCCCCC" w:sz="1"/>
              <w:left w:val="single" w:color="CCCCCC" w:sz="1"/>
              <w:bottom w:val="single" w:color="CCCCCC" w:sz="1"/>
              <w:right w:val="single" w:color="CCCCCC" w:sz="1"/>
            </w:tcBorders>
            <w:shd w:fill="F5F9FC"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In attesa di review clinica</w:t>
            </w:r>
          </w:p>
        </w:tc>
        <w:tc>
          <w:tcPr>
            <w:tcW w:type="dxa" w:w="3960"/>
            <w:gridSpan w:val="1"/>
            <w:tcBorders>
              <w:top w:val="single" w:color="CCCCCC" w:sz="1"/>
              <w:left w:val="single" w:color="CCCCCC" w:sz="1"/>
              <w:bottom w:val="single" w:color="CCCCCC" w:sz="1"/>
              <w:right w:val="single" w:color="CCCCCC" w:sz="1"/>
            </w:tcBorders>
            <w:shd w:fill="F5F9FC"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Possibile errore unità di misura (urea totale vs BUN)</w:t>
            </w:r>
          </w:p>
        </w:tc>
      </w:tr>
    </w:tbl>
    <w:p>
      <w:pPr>
        <w:spacing w:after="0" w:before="0"/>
      </w:pPr>
      <w:r>
        <w:t xml:space="preserve"/>
      </w:r>
    </w:p>
    <w:p>
      <w:pPr>
        <w:pStyle w:val="Heading1"/>
        <w:spacing w:after="180" w:before="360"/>
      </w:pPr>
      <w:r>
        <w:rPr>
          <w:rFonts w:ascii="Arial" w:cs="Arial" w:eastAsia="Arial" w:hAnsi="Arial"/>
          <w:b/>
          <w:bCs/>
          <w:color w:val="1F4E79"/>
          <w:sz w:val="32"/>
          <w:szCs w:val="32"/>
        </w:rPr>
        <w:t xml:space="preserve">11. Review Clinica — Domande per il Medico di Laboratorio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2"/>
              <w:bottom w:val="single" w:color="C55A11" w:sz="1"/>
              <w:right w:val="single" w:color="C55A11" w:sz="1"/>
            </w:tcBorders>
            <w:shd w:fill="FCE4D6" w:val="clear"/>
            <w:tcMar>
              <w:top w:type="dxa" w:w="100"/>
              <w:left w:type="dxa" w:w="180"/>
              <w:bottom w:type="dxa" w:w="100"/>
              <w:right w:type="dxa" w:w="180"/>
            </w:tcMar>
          </w:tcPr>
          <w:p>
            <w:pPr>
              <w:spacing w:after="60" w:before="0"/>
            </w:pPr>
            <w:r>
              <w:rPr>
                <w:rFonts w:ascii="Arial" w:cs="Arial" w:eastAsia="Arial" w:hAnsi="Arial"/>
                <w:b/>
                <w:bCs/>
                <w:sz w:val="22"/>
                <w:szCs w:val="22"/>
              </w:rPr>
              <w:t xml:space="preserve">QUESTA SEZIONE RICHIEDE RISPOSTA DA PARTE DEL BIOLOGO / MEDICO DI LABORATORIO</w:t>
            </w:r>
          </w:p>
          <w:p>
            <w:pPr>
              <w:spacing w:after="40" w:before="0"/>
            </w:pPr>
            <w:r>
              <w:rPr>
                <w:rFonts w:ascii="Arial" w:cs="Arial" w:eastAsia="Arial" w:hAnsi="Arial"/>
                <w:sz w:val="20"/>
                <w:szCs w:val="20"/>
              </w:rPr>
              <w:t xml:space="preserve">Le seguenti domande sono essenziali per validare le assunzioni metodologiche e autorizzare il pre-processing definitivo del dataset. Senza queste risposte non è possibile procedere in modo scientificamente corretto.</w:t>
            </w:r>
          </w:p>
        </w:tc>
      </w:tr>
    </w:tbl>
    <w:p>
      <w:pPr>
        <w:spacing w:after="0" w:before="0"/>
      </w:pPr>
      <w:r>
        <w:t xml:space="preserve"/>
      </w:r>
    </w:p>
    <w:p>
      <w:pPr>
        <w:pStyle w:val="Heading2"/>
        <w:spacing w:after="120" w:before="240"/>
      </w:pPr>
      <w:r>
        <w:rPr>
          <w:rFonts w:ascii="Arial" w:cs="Arial" w:eastAsia="Arial" w:hAnsi="Arial"/>
          <w:b/>
          <w:bCs/>
          <w:color w:val="2E75B6"/>
          <w:sz w:val="26"/>
          <w:szCs w:val="26"/>
        </w:rPr>
        <w:t xml:space="preserve">11.1 Anomalia Urea/Creatinina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8F00" w:sz="1"/>
              <w:left w:val="single" w:color="BF8F00" w:sz="12"/>
              <w:bottom w:val="single" w:color="BF8F00" w:sz="1"/>
              <w:right w:val="single" w:color="BF8F00" w:sz="1"/>
            </w:tcBorders>
            <w:shd w:fill="FFF2CC" w:val="clear"/>
            <w:tcMar>
              <w:top w:type="dxa" w:w="100"/>
              <w:left w:type="dxa" w:w="180"/>
              <w:bottom w:type="dxa" w:w="100"/>
              <w:right w:type="dxa" w:w="180"/>
            </w:tcMar>
          </w:tcPr>
          <w:p>
            <w:pPr>
              <w:spacing w:after="60" w:before="0"/>
            </w:pPr>
            <w:r>
              <w:rPr>
                <w:rFonts w:ascii="Arial" w:cs="Arial" w:eastAsia="Arial" w:hAnsi="Arial"/>
                <w:b/>
                <w:bCs/>
                <w:sz w:val="22"/>
                <w:szCs w:val="22"/>
              </w:rPr>
              <w:t xml:space="preserve">Domanda 1 (PRIORITARIA) — Unità di misura dell’Urea</w:t>
            </w:r>
          </w:p>
          <w:p>
            <w:pPr>
              <w:spacing w:after="40" w:before="0"/>
            </w:pPr>
            <w:r>
              <w:rPr>
                <w:rFonts w:ascii="Arial" w:cs="Arial" w:eastAsia="Arial" w:hAnsi="Arial"/>
                <w:sz w:val="20"/>
                <w:szCs w:val="20"/>
              </w:rPr>
              <w:t xml:space="preserve">Il rapporto Urea/Creatinina risulta superiore a 20 nel 99.8% del campione (range atteso: 10–20). L’urea viene refertata come urea totale (mg/dL) o come BUN (azoto ureico)? Il fattore di conversione BUN-a-urea totale è 2.14. Informazione richiesta: specificare l’unità di misura esatta e il metodo di dosaggio del laboratorio per l’urea.</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8F00" w:sz="1"/>
              <w:left w:val="single" w:color="BF8F00" w:sz="12"/>
              <w:bottom w:val="single" w:color="BF8F00" w:sz="1"/>
              <w:right w:val="single" w:color="BF8F00" w:sz="1"/>
            </w:tcBorders>
            <w:shd w:fill="FFF2CC" w:val="clear"/>
            <w:tcMar>
              <w:top w:type="dxa" w:w="100"/>
              <w:left w:type="dxa" w:w="180"/>
              <w:bottom w:type="dxa" w:w="100"/>
              <w:right w:type="dxa" w:w="180"/>
            </w:tcMar>
          </w:tcPr>
          <w:p>
            <w:pPr>
              <w:spacing w:after="60" w:before="0"/>
            </w:pPr>
            <w:r>
              <w:rPr>
                <w:rFonts w:ascii="Arial" w:cs="Arial" w:eastAsia="Arial" w:hAnsi="Arial"/>
                <w:b/>
                <w:bCs/>
                <w:sz w:val="22"/>
                <w:szCs w:val="22"/>
              </w:rPr>
              <w:t xml:space="preserve">Domanda 2 — Caratteristiche della popolazione</w:t>
            </w:r>
          </w:p>
          <w:p>
            <w:pPr>
              <w:spacing w:after="40" w:before="0"/>
            </w:pPr>
            <w:r>
              <w:rPr>
                <w:rFonts w:ascii="Arial" w:cs="Arial" w:eastAsia="Arial" w:hAnsi="Arial"/>
                <w:sz w:val="20"/>
                <w:szCs w:val="20"/>
              </w:rPr>
              <w:t xml:space="preserve">Esiste una stima della percentuale di pazienti in trattamento farmacologico per patologie renali, metaboliche o cardiovascolari? Questa informazione aiuterebbe a distinguere tra anomalia biologica reale e errore sistematico di misurazione.</w:t>
            </w:r>
          </w:p>
        </w:tc>
      </w:tr>
    </w:tbl>
    <w:p>
      <w:pPr>
        <w:spacing w:after="0" w:before="0"/>
      </w:pPr>
      <w:r>
        <w:t xml:space="preserve"/>
      </w:r>
    </w:p>
    <w:p>
      <w:pPr>
        <w:pStyle w:val="Heading2"/>
        <w:spacing w:after="120" w:before="240"/>
      </w:pPr>
      <w:r>
        <w:rPr>
          <w:rFonts w:ascii="Arial" w:cs="Arial" w:eastAsia="Arial" w:hAnsi="Arial"/>
          <w:b/>
          <w:bCs/>
          <w:color w:val="2E75B6"/>
          <w:sz w:val="26"/>
          <w:szCs w:val="26"/>
        </w:rPr>
        <w:t xml:space="preserve">11.2 Validazione degli Outlier Estremi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8F00" w:sz="1"/>
              <w:left w:val="single" w:color="BF8F00" w:sz="12"/>
              <w:bottom w:val="single" w:color="BF8F00" w:sz="1"/>
              <w:right w:val="single" w:color="BF8F00" w:sz="1"/>
            </w:tcBorders>
            <w:shd w:fill="FFF2CC" w:val="clear"/>
            <w:tcMar>
              <w:top w:type="dxa" w:w="100"/>
              <w:left w:type="dxa" w:w="180"/>
              <w:bottom w:type="dxa" w:w="100"/>
              <w:right w:type="dxa" w:w="180"/>
            </w:tcMar>
          </w:tcPr>
          <w:p>
            <w:pPr>
              <w:spacing w:after="60" w:before="0"/>
            </w:pPr>
            <w:r>
              <w:rPr>
                <w:rFonts w:ascii="Arial" w:cs="Arial" w:eastAsia="Arial" w:hAnsi="Arial"/>
                <w:b/>
                <w:bCs/>
                <w:sz w:val="22"/>
                <w:szCs w:val="22"/>
              </w:rPr>
              <w:t xml:space="preserve">Domanda 3 — Outlier estremi dei parametri ematici</w:t>
            </w:r>
          </w:p>
          <w:p>
            <w:pPr>
              <w:spacing w:after="40" w:before="0"/>
            </w:pPr>
            <w:r>
              <w:rPr>
                <w:rFonts w:ascii="Arial" w:cs="Arial" w:eastAsia="Arial" w:hAnsi="Arial"/>
                <w:sz w:val="20"/>
                <w:szCs w:val="20"/>
              </w:rPr>
              <w:t xml:space="preserve">Nel dataset sono presenti valori estremi verificati: Linfociti max 82.3 ×10⁹/L (nel raw, 20× il limite superiore); Piastrine min 8 ×10⁹/L (soglia di emergenza clinica); Trigliceridi max 1.725 mg/dL. Questi valori sono stati verificati clinicamente o sono probabili errori di trascrizione/inserimento?</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8F00" w:sz="1"/>
              <w:left w:val="single" w:color="BF8F00" w:sz="12"/>
              <w:bottom w:val="single" w:color="BF8F00" w:sz="1"/>
              <w:right w:val="single" w:color="BF8F00" w:sz="1"/>
            </w:tcBorders>
            <w:shd w:fill="FFF2CC" w:val="clear"/>
            <w:tcMar>
              <w:top w:type="dxa" w:w="100"/>
              <w:left w:type="dxa" w:w="180"/>
              <w:bottom w:type="dxa" w:w="100"/>
              <w:right w:type="dxa" w:w="180"/>
            </w:tcMar>
          </w:tcPr>
          <w:p>
            <w:pPr>
              <w:spacing w:after="60" w:before="0"/>
            </w:pPr>
            <w:r>
              <w:rPr>
                <w:rFonts w:ascii="Arial" w:cs="Arial" w:eastAsia="Arial" w:hAnsi="Arial"/>
                <w:b/>
                <w:bCs/>
                <w:sz w:val="22"/>
                <w:szCs w:val="22"/>
              </w:rPr>
              <w:t xml:space="preserve">Domanda 4 — Rappresentatività del campione</w:t>
            </w:r>
          </w:p>
          <w:p>
            <w:pPr>
              <w:spacing w:after="40" w:before="0"/>
            </w:pPr>
            <w:r>
              <w:rPr>
                <w:rFonts w:ascii="Arial" w:cs="Arial" w:eastAsia="Arial" w:hAnsi="Arial"/>
                <w:sz w:val="20"/>
                <w:szCs w:val="20"/>
              </w:rPr>
              <w:t xml:space="preserve">L’obiettivo del modello è predire l’età biologica di una popolazione generale o clinica? Se il target applicativo è la prevenzione su popolazione generale, includere profili da pazienti con patologie acute gravi potrebbe introdurre distorsioni sistematiche.</w:t>
            </w:r>
          </w:p>
        </w:tc>
      </w:tr>
    </w:tbl>
    <w:p>
      <w:pPr>
        <w:spacing w:after="0" w:before="0"/>
      </w:pPr>
      <w:r>
        <w:t xml:space="preserve"/>
      </w:r>
    </w:p>
    <w:p>
      <w:pPr>
        <w:pStyle w:val="Heading2"/>
        <w:spacing w:after="120" w:before="240"/>
      </w:pPr>
      <w:r>
        <w:rPr>
          <w:rFonts w:ascii="Arial" w:cs="Arial" w:eastAsia="Arial" w:hAnsi="Arial"/>
          <w:b/>
          <w:bCs/>
          <w:color w:val="2E75B6"/>
          <w:sz w:val="26"/>
          <w:szCs w:val="26"/>
        </w:rPr>
        <w:t xml:space="preserve">11.3 Incongruenza Temporale dell’Età</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8F00" w:sz="1"/>
              <w:left w:val="single" w:color="BF8F00" w:sz="12"/>
              <w:bottom w:val="single" w:color="BF8F00" w:sz="1"/>
              <w:right w:val="single" w:color="BF8F00" w:sz="1"/>
            </w:tcBorders>
            <w:shd w:fill="FFF2CC" w:val="clear"/>
            <w:tcMar>
              <w:top w:type="dxa" w:w="100"/>
              <w:left w:type="dxa" w:w="180"/>
              <w:bottom w:type="dxa" w:w="100"/>
              <w:right w:type="dxa" w:w="180"/>
            </w:tcMar>
          </w:tcPr>
          <w:p>
            <w:pPr>
              <w:spacing w:after="60" w:before="0"/>
            </w:pPr>
            <w:r>
              <w:rPr>
                <w:rFonts w:ascii="Arial" w:cs="Arial" w:eastAsia="Arial" w:hAnsi="Arial"/>
                <w:b/>
                <w:bCs/>
                <w:sz w:val="22"/>
                <w:szCs w:val="22"/>
              </w:rPr>
              <w:t xml:space="preserve">Domanda 5 — Disponibilità data di nascita</w:t>
            </w:r>
          </w:p>
          <w:p>
            <w:pPr>
              <w:spacing w:after="40" w:before="0"/>
            </w:pPr>
            <w:r>
              <w:rPr>
                <w:rFonts w:ascii="Arial" w:cs="Arial" w:eastAsia="Arial" w:hAnsi="Arial"/>
                <w:sz w:val="20"/>
                <w:szCs w:val="20"/>
              </w:rPr>
              <w:t xml:space="preserve">Nel sistema informatico del laboratorio è disponibile la data di nascita come campo separato? Se sì, sarebbe possibile un export con la data di nascita invece dell’età, per calcolare l’età corretta per ciascun episodio ed evitare la perdita dei dati longitudinali.</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8F00" w:sz="1"/>
              <w:left w:val="single" w:color="BF8F00" w:sz="12"/>
              <w:bottom w:val="single" w:color="BF8F00" w:sz="1"/>
              <w:right w:val="single" w:color="BF8F00" w:sz="1"/>
            </w:tcBorders>
            <w:shd w:fill="FFF2CC" w:val="clear"/>
            <w:tcMar>
              <w:top w:type="dxa" w:w="100"/>
              <w:left w:type="dxa" w:w="180"/>
              <w:bottom w:type="dxa" w:w="100"/>
              <w:right w:type="dxa" w:w="180"/>
            </w:tcMar>
          </w:tcPr>
          <w:p>
            <w:pPr>
              <w:spacing w:after="60" w:before="0"/>
            </w:pPr>
            <w:r>
              <w:rPr>
                <w:rFonts w:ascii="Arial" w:cs="Arial" w:eastAsia="Arial" w:hAnsi="Arial"/>
                <w:b/>
                <w:bCs/>
                <w:sz w:val="22"/>
                <w:szCs w:val="22"/>
              </w:rPr>
              <w:t xml:space="preserve">Domanda 6 — Pazienti pediatrici e geriatrici</w:t>
            </w:r>
          </w:p>
          <w:p>
            <w:pPr>
              <w:spacing w:after="40" w:before="0"/>
            </w:pPr>
            <w:r>
              <w:rPr>
                <w:rFonts w:ascii="Arial" w:cs="Arial" w:eastAsia="Arial" w:hAnsi="Arial"/>
                <w:sz w:val="20"/>
                <w:szCs w:val="20"/>
              </w:rPr>
              <w:t xml:space="preserve">Prima dell’esclusione definitiva dei 251 pazienti &lt;18 anni e 320 pazienti &gt;90 anni: (a) l’età registrata per questi soggetti è corretta? (b) non esiste una popolazione di sufficiente numerosità nei dati grezzi non ancora inclusi nel dataset ricevuto?</w:t>
            </w:r>
          </w:p>
        </w:tc>
      </w:tr>
    </w:tbl>
    <w:p>
      <w:pPr>
        <w:spacing w:after="0" w:before="0"/>
      </w:pPr>
      <w:r>
        <w:t xml:space="preserve"/>
      </w:r>
    </w:p>
    <w:p>
      <w:pPr>
        <w:pStyle w:val="Heading1"/>
        <w:spacing w:after="180" w:before="360"/>
      </w:pPr>
      <w:r>
        <w:rPr>
          <w:rFonts w:ascii="Arial" w:cs="Arial" w:eastAsia="Arial" w:hAnsi="Arial"/>
          <w:b/>
          <w:bCs/>
          <w:color w:val="1F4E79"/>
          <w:sz w:val="32"/>
          <w:szCs w:val="32"/>
        </w:rPr>
        <w:t xml:space="preserve">12. Note Finali e Roadmap Pre-training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500"/>
        <w:gridCol w:w="1500"/>
        <w:gridCol w:w="2960"/>
      </w:tblGrid>
      <w:tr>
        <w:tc>
          <w:tcPr>
            <w:tcW w:type="dxa" w:w="400"/>
            <w:tcBorders>
              <w:top w:val="single" w:color="2E75B6" w:sz="1"/>
              <w:left w:val="single" w:color="2E75B6" w:sz="1"/>
              <w:bottom w:val="single" w:color="2E75B6" w:sz="1"/>
              <w:right w:val="single" w:color="2E75B6" w:sz="1"/>
            </w:tcBorders>
            <w:shd w:fill="BDD7EE" w:val="clear"/>
            <w:tcMar>
              <w:top w:type="dxa" w:w="80"/>
              <w:left w:type="dxa" w:w="100"/>
              <w:bottom w:type="dxa" w:w="80"/>
              <w:right w:type="dxa" w:w="100"/>
            </w:tcMar>
            <w:vAlign w:val="center"/>
          </w:tcPr>
          <w:p>
            <w:r>
              <w:rPr>
                <w:rFonts w:ascii="Arial" w:cs="Arial" w:eastAsia="Arial" w:hAnsi="Arial"/>
                <w:b/>
                <w:bCs/>
                <w:color w:val="1F4E79"/>
                <w:sz w:val="20"/>
                <w:szCs w:val="20"/>
              </w:rPr>
              <w:t xml:space="preserve">#</w:t>
            </w:r>
          </w:p>
        </w:tc>
        <w:tc>
          <w:tcPr>
            <w:tcW w:type="dxa" w:w="4500"/>
            <w:tcBorders>
              <w:top w:val="single" w:color="2E75B6" w:sz="1"/>
              <w:left w:val="single" w:color="2E75B6" w:sz="1"/>
              <w:bottom w:val="single" w:color="2E75B6" w:sz="1"/>
              <w:right w:val="single" w:color="2E75B6" w:sz="1"/>
            </w:tcBorders>
            <w:shd w:fill="BDD7EE" w:val="clear"/>
            <w:tcMar>
              <w:top w:type="dxa" w:w="80"/>
              <w:left w:type="dxa" w:w="100"/>
              <w:bottom w:type="dxa" w:w="80"/>
              <w:right w:type="dxa" w:w="100"/>
            </w:tcMar>
            <w:vAlign w:val="center"/>
          </w:tcPr>
          <w:p>
            <w:r>
              <w:rPr>
                <w:rFonts w:ascii="Arial" w:cs="Arial" w:eastAsia="Arial" w:hAnsi="Arial"/>
                <w:b/>
                <w:bCs/>
                <w:color w:val="1F4E79"/>
                <w:sz w:val="20"/>
                <w:szCs w:val="20"/>
              </w:rPr>
              <w:t xml:space="preserve">Azione</w:t>
            </w:r>
          </w:p>
        </w:tc>
        <w:tc>
          <w:tcPr>
            <w:tcW w:type="dxa" w:w="1500"/>
            <w:tcBorders>
              <w:top w:val="single" w:color="2E75B6" w:sz="1"/>
              <w:left w:val="single" w:color="2E75B6" w:sz="1"/>
              <w:bottom w:val="single" w:color="2E75B6" w:sz="1"/>
              <w:right w:val="single" w:color="2E75B6" w:sz="1"/>
            </w:tcBorders>
            <w:shd w:fill="BDD7EE" w:val="clear"/>
            <w:tcMar>
              <w:top w:type="dxa" w:w="80"/>
              <w:left w:type="dxa" w:w="100"/>
              <w:bottom w:type="dxa" w:w="80"/>
              <w:right w:type="dxa" w:w="100"/>
            </w:tcMar>
            <w:vAlign w:val="center"/>
          </w:tcPr>
          <w:p>
            <w:r>
              <w:rPr>
                <w:rFonts w:ascii="Arial" w:cs="Arial" w:eastAsia="Arial" w:hAnsi="Arial"/>
                <w:b/>
                <w:bCs/>
                <w:color w:val="1F4E79"/>
                <w:sz w:val="20"/>
                <w:szCs w:val="20"/>
              </w:rPr>
              <w:t xml:space="preserve">Priorità</w:t>
            </w:r>
          </w:p>
        </w:tc>
        <w:tc>
          <w:tcPr>
            <w:tcW w:type="dxa" w:w="2960"/>
            <w:tcBorders>
              <w:top w:val="single" w:color="2E75B6" w:sz="1"/>
              <w:left w:val="single" w:color="2E75B6" w:sz="1"/>
              <w:bottom w:val="single" w:color="2E75B6" w:sz="1"/>
              <w:right w:val="single" w:color="2E75B6" w:sz="1"/>
            </w:tcBorders>
            <w:shd w:fill="BDD7EE" w:val="clear"/>
            <w:tcMar>
              <w:top w:type="dxa" w:w="80"/>
              <w:left w:type="dxa" w:w="100"/>
              <w:bottom w:type="dxa" w:w="80"/>
              <w:right w:type="dxa" w:w="100"/>
            </w:tcMar>
            <w:vAlign w:val="center"/>
          </w:tcPr>
          <w:p>
            <w:r>
              <w:rPr>
                <w:rFonts w:ascii="Arial" w:cs="Arial" w:eastAsia="Arial" w:hAnsi="Arial"/>
                <w:b/>
                <w:bCs/>
                <w:color w:val="1F4E79"/>
                <w:sz w:val="20"/>
                <w:szCs w:val="20"/>
              </w:rPr>
              <w:t xml:space="preserve">Responsabile</w:t>
            </w:r>
          </w:p>
        </w:tc>
      </w:tr>
      <w:tr>
        <w:tc>
          <w:tcPr>
            <w:tcW w:type="dxa" w:w="400"/>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1</w:t>
            </w:r>
          </w:p>
        </w:tc>
        <w:tc>
          <w:tcPr>
            <w:tcW w:type="dxa" w:w="4500"/>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Ottenere risposta alle domande Review Clinica (Sezione 11)</w:t>
            </w:r>
          </w:p>
        </w:tc>
        <w:tc>
          <w:tcPr>
            <w:tcW w:type="dxa" w:w="1500"/>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CRITICA</w:t>
            </w:r>
          </w:p>
        </w:tc>
        <w:tc>
          <w:tcPr>
            <w:tcW w:type="dxa" w:w="2960"/>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Biologo / Medico di laboratorio</w:t>
            </w:r>
          </w:p>
        </w:tc>
      </w:tr>
      <w:tr>
        <w:tc>
          <w:tcPr>
            <w:tcW w:type="dxa" w:w="400"/>
            <w:gridSpan w:val="1"/>
            <w:tcBorders>
              <w:top w:val="single" w:color="CCCCCC" w:sz="1"/>
              <w:left w:val="single" w:color="CCCCCC" w:sz="1"/>
              <w:bottom w:val="single" w:color="CCCCCC" w:sz="1"/>
              <w:right w:val="single" w:color="CCCCCC" w:sz="1"/>
            </w:tcBorders>
            <w:shd w:fill="F5F9FC"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2</w:t>
            </w:r>
          </w:p>
        </w:tc>
        <w:tc>
          <w:tcPr>
            <w:tcW w:type="dxa" w:w="4500"/>
            <w:gridSpan w:val="1"/>
            <w:tcBorders>
              <w:top w:val="single" w:color="CCCCCC" w:sz="1"/>
              <w:left w:val="single" w:color="CCCCCC" w:sz="1"/>
              <w:bottom w:val="single" w:color="CCCCCC" w:sz="1"/>
              <w:right w:val="single" w:color="CCCCCC" w:sz="1"/>
            </w:tcBorders>
            <w:shd w:fill="F5F9FC"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Quantificare pazienti con età incongruente tra esami multipli ed escluderli</w:t>
            </w:r>
          </w:p>
        </w:tc>
        <w:tc>
          <w:tcPr>
            <w:tcW w:type="dxa" w:w="1500"/>
            <w:gridSpan w:val="1"/>
            <w:tcBorders>
              <w:top w:val="single" w:color="CCCCCC" w:sz="1"/>
              <w:left w:val="single" w:color="CCCCCC" w:sz="1"/>
              <w:bottom w:val="single" w:color="CCCCCC" w:sz="1"/>
              <w:right w:val="single" w:color="CCCCCC" w:sz="1"/>
            </w:tcBorders>
            <w:shd w:fill="F5F9FC"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CRITICA</w:t>
            </w:r>
          </w:p>
        </w:tc>
        <w:tc>
          <w:tcPr>
            <w:tcW w:type="dxa" w:w="2960"/>
            <w:gridSpan w:val="1"/>
            <w:tcBorders>
              <w:top w:val="single" w:color="CCCCCC" w:sz="1"/>
              <w:left w:val="single" w:color="CCCCCC" w:sz="1"/>
              <w:bottom w:val="single" w:color="CCCCCC" w:sz="1"/>
              <w:right w:val="single" w:color="CCCCCC" w:sz="1"/>
            </w:tcBorders>
            <w:shd w:fill="F5F9FC"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Data Scientist</w:t>
            </w:r>
          </w:p>
        </w:tc>
      </w:tr>
      <w:tr>
        <w:tc>
          <w:tcPr>
            <w:tcW w:type="dxa" w:w="400"/>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3</w:t>
            </w:r>
          </w:p>
        </w:tc>
        <w:tc>
          <w:tcPr>
            <w:tcW w:type="dxa" w:w="4500"/>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Chiarire unità di misura urea e correggere rapporto Urea/Creatinina</w:t>
            </w:r>
          </w:p>
        </w:tc>
        <w:tc>
          <w:tcPr>
            <w:tcW w:type="dxa" w:w="1500"/>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CRITICA</w:t>
            </w:r>
          </w:p>
        </w:tc>
        <w:tc>
          <w:tcPr>
            <w:tcW w:type="dxa" w:w="2960"/>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Data Scientist + Laboratorio</w:t>
            </w:r>
          </w:p>
        </w:tc>
      </w:tr>
      <w:tr>
        <w:tc>
          <w:tcPr>
            <w:tcW w:type="dxa" w:w="400"/>
            <w:gridSpan w:val="1"/>
            <w:tcBorders>
              <w:top w:val="single" w:color="CCCCCC" w:sz="1"/>
              <w:left w:val="single" w:color="CCCCCC" w:sz="1"/>
              <w:bottom w:val="single" w:color="CCCCCC" w:sz="1"/>
              <w:right w:val="single" w:color="CCCCCC" w:sz="1"/>
            </w:tcBorders>
            <w:shd w:fill="F5F9FC"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4</w:t>
            </w:r>
          </w:p>
        </w:tc>
        <w:tc>
          <w:tcPr>
            <w:tcW w:type="dxa" w:w="4500"/>
            <w:gridSpan w:val="1"/>
            <w:tcBorders>
              <w:top w:val="single" w:color="CCCCCC" w:sz="1"/>
              <w:left w:val="single" w:color="CCCCCC" w:sz="1"/>
              <w:bottom w:val="single" w:color="CCCCCC" w:sz="1"/>
              <w:right w:val="single" w:color="CCCCCC" w:sz="1"/>
            </w:tcBorders>
            <w:shd w:fill="F5F9FC"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Applicare strategia outlier differenziata (capping / eliminazione) per Deep Learning</w:t>
            </w:r>
          </w:p>
        </w:tc>
        <w:tc>
          <w:tcPr>
            <w:tcW w:type="dxa" w:w="1500"/>
            <w:gridSpan w:val="1"/>
            <w:tcBorders>
              <w:top w:val="single" w:color="CCCCCC" w:sz="1"/>
              <w:left w:val="single" w:color="CCCCCC" w:sz="1"/>
              <w:bottom w:val="single" w:color="CCCCCC" w:sz="1"/>
              <w:right w:val="single" w:color="CCCCCC" w:sz="1"/>
            </w:tcBorders>
            <w:shd w:fill="F5F9FC"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ALTA</w:t>
            </w:r>
          </w:p>
        </w:tc>
        <w:tc>
          <w:tcPr>
            <w:tcW w:type="dxa" w:w="2960"/>
            <w:gridSpan w:val="1"/>
            <w:tcBorders>
              <w:top w:val="single" w:color="CCCCCC" w:sz="1"/>
              <w:left w:val="single" w:color="CCCCCC" w:sz="1"/>
              <w:bottom w:val="single" w:color="CCCCCC" w:sz="1"/>
              <w:right w:val="single" w:color="CCCCCC" w:sz="1"/>
            </w:tcBorders>
            <w:shd w:fill="F5F9FC"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Data Scientist</w:t>
            </w:r>
          </w:p>
        </w:tc>
      </w:tr>
      <w:tr>
        <w:tc>
          <w:tcPr>
            <w:tcW w:type="dxa" w:w="400"/>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5</w:t>
            </w:r>
          </w:p>
        </w:tc>
        <w:tc>
          <w:tcPr>
            <w:tcW w:type="dxa" w:w="4500"/>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Verificare clinicamente outlier estremi emocromo (Linfociti 82.3, Piastrine 8)</w:t>
            </w:r>
          </w:p>
        </w:tc>
        <w:tc>
          <w:tcPr>
            <w:tcW w:type="dxa" w:w="1500"/>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ALTA</w:t>
            </w:r>
          </w:p>
        </w:tc>
        <w:tc>
          <w:tcPr>
            <w:tcW w:type="dxa" w:w="2960"/>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Medico di laboratorio</w:t>
            </w:r>
          </w:p>
        </w:tc>
      </w:tr>
      <w:tr>
        <w:tc>
          <w:tcPr>
            <w:tcW w:type="dxa" w:w="400"/>
            <w:gridSpan w:val="1"/>
            <w:tcBorders>
              <w:top w:val="single" w:color="CCCCCC" w:sz="1"/>
              <w:left w:val="single" w:color="CCCCCC" w:sz="1"/>
              <w:bottom w:val="single" w:color="CCCCCC" w:sz="1"/>
              <w:right w:val="single" w:color="CCCCCC" w:sz="1"/>
            </w:tcBorders>
            <w:shd w:fill="F5F9FC"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6</w:t>
            </w:r>
          </w:p>
        </w:tc>
        <w:tc>
          <w:tcPr>
            <w:tcW w:type="dxa" w:w="4500"/>
            <w:gridSpan w:val="1"/>
            <w:tcBorders>
              <w:top w:val="single" w:color="CCCCCC" w:sz="1"/>
              <w:left w:val="single" w:color="CCCCCC" w:sz="1"/>
              <w:bottom w:val="single" w:color="CCCCCC" w:sz="1"/>
              <w:right w:val="single" w:color="CCCCCC" w:sz="1"/>
            </w:tcBorders>
            <w:shd w:fill="F5F9FC"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Calcolare e verificare tutti gli 11 score con formule corrette (FIB-4 e De Ritis già corretti)</w:t>
            </w:r>
          </w:p>
        </w:tc>
        <w:tc>
          <w:tcPr>
            <w:tcW w:type="dxa" w:w="1500"/>
            <w:gridSpan w:val="1"/>
            <w:tcBorders>
              <w:top w:val="single" w:color="CCCCCC" w:sz="1"/>
              <w:left w:val="single" w:color="CCCCCC" w:sz="1"/>
              <w:bottom w:val="single" w:color="CCCCCC" w:sz="1"/>
              <w:right w:val="single" w:color="CCCCCC" w:sz="1"/>
            </w:tcBorders>
            <w:shd w:fill="F5F9FC"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MEDIA</w:t>
            </w:r>
          </w:p>
        </w:tc>
        <w:tc>
          <w:tcPr>
            <w:tcW w:type="dxa" w:w="2960"/>
            <w:gridSpan w:val="1"/>
            <w:tcBorders>
              <w:top w:val="single" w:color="CCCCCC" w:sz="1"/>
              <w:left w:val="single" w:color="CCCCCC" w:sz="1"/>
              <w:bottom w:val="single" w:color="CCCCCC" w:sz="1"/>
              <w:right w:val="single" w:color="CCCCCC" w:sz="1"/>
            </w:tcBorders>
            <w:shd w:fill="F5F9FC"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Data Scientist</w:t>
            </w:r>
          </w:p>
        </w:tc>
      </w:tr>
      <w:tr>
        <w:tc>
          <w:tcPr>
            <w:tcW w:type="dxa" w:w="400"/>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7</w:t>
            </w:r>
          </w:p>
        </w:tc>
        <w:tc>
          <w:tcPr>
            <w:tcW w:type="dxa" w:w="4500"/>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Produrre grafici esplorativi definitivi su dataset pulito post-review clinica</w:t>
            </w:r>
          </w:p>
        </w:tc>
        <w:tc>
          <w:tcPr>
            <w:tcW w:type="dxa" w:w="1500"/>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MEDIA</w:t>
            </w:r>
          </w:p>
        </w:tc>
        <w:tc>
          <w:tcPr>
            <w:tcW w:type="dxa" w:w="2960"/>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Data Scientist</w:t>
            </w:r>
          </w:p>
        </w:tc>
      </w:tr>
      <w:tr>
        <w:tc>
          <w:tcPr>
            <w:tcW w:type="dxa" w:w="400"/>
            <w:gridSpan w:val="1"/>
            <w:tcBorders>
              <w:top w:val="single" w:color="CCCCCC" w:sz="1"/>
              <w:left w:val="single" w:color="CCCCCC" w:sz="1"/>
              <w:bottom w:val="single" w:color="CCCCCC" w:sz="1"/>
              <w:right w:val="single" w:color="CCCCCC" w:sz="1"/>
            </w:tcBorders>
            <w:shd w:fill="F5F9FC"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8</w:t>
            </w:r>
          </w:p>
        </w:tc>
        <w:tc>
          <w:tcPr>
            <w:tcW w:type="dxa" w:w="4500"/>
            <w:gridSpan w:val="1"/>
            <w:tcBorders>
              <w:top w:val="single" w:color="CCCCCC" w:sz="1"/>
              <w:left w:val="single" w:color="CCCCCC" w:sz="1"/>
              <w:bottom w:val="single" w:color="CCCCCC" w:sz="1"/>
              <w:right w:val="single" w:color="CCCCCC" w:sz="1"/>
            </w:tcBorders>
            <w:shd w:fill="F5F9FC"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Avvio training modello (Deep Learning / ML Inflammaging)</w:t>
            </w:r>
          </w:p>
        </w:tc>
        <w:tc>
          <w:tcPr>
            <w:tcW w:type="dxa" w:w="1500"/>
            <w:gridSpan w:val="1"/>
            <w:tcBorders>
              <w:top w:val="single" w:color="CCCCCC" w:sz="1"/>
              <w:left w:val="single" w:color="CCCCCC" w:sz="1"/>
              <w:bottom w:val="single" w:color="CCCCCC" w:sz="1"/>
              <w:right w:val="single" w:color="CCCCCC" w:sz="1"/>
            </w:tcBorders>
            <w:shd w:fill="F5F9FC"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POST-REVIEW</w:t>
            </w:r>
          </w:p>
        </w:tc>
        <w:tc>
          <w:tcPr>
            <w:tcW w:type="dxa" w:w="2960"/>
            <w:gridSpan w:val="1"/>
            <w:tcBorders>
              <w:top w:val="single" w:color="CCCCCC" w:sz="1"/>
              <w:left w:val="single" w:color="CCCCCC" w:sz="1"/>
              <w:bottom w:val="single" w:color="CCCCCC" w:sz="1"/>
              <w:right w:val="single" w:color="CCCCCC" w:sz="1"/>
            </w:tcBorders>
            <w:shd w:fill="F5F9FC"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Data Scientist + Team medico</w:t>
            </w:r>
          </w:p>
        </w:tc>
      </w:tr>
    </w:tbl>
    <w:p>
      <w:pPr>
        <w:spacing w:after="0" w:before="0"/>
      </w:pPr>
      <w:r>
        <w:t xml:space="preserve"/>
      </w:r>
    </w:p>
    <w:p>
      <w:pPr>
        <w:spacing w:after="0" w:before="0"/>
      </w:pPr>
      <w:r>
        <w:t xml:space="preserve"/>
      </w:r>
    </w:p>
    <w:p>
      <w:pPr>
        <w:pBdr>
          <w:bottom w:val="single" w:color="2E75B6" w:sz="6" w:space="1"/>
        </w:pBdr>
        <w:spacing w:after="120" w:before="120"/>
      </w:pPr>
      <w:r>
        <w:t xml:space="preserve"/>
      </w:r>
    </w:p>
    <w:p>
      <w:pPr>
        <w:spacing w:after="60" w:before="120"/>
        <w:jc w:val="center"/>
      </w:pPr>
      <w:r>
        <w:rPr>
          <w:rFonts w:ascii="Arial" w:cs="Arial" w:eastAsia="Arial" w:hAnsi="Arial"/>
          <w:b/>
          <w:bCs/>
          <w:color w:val="1F4E79"/>
          <w:sz w:val="22"/>
          <w:szCs w:val="22"/>
        </w:rPr>
        <w:t xml:space="preserve">BioAge Project — Età Biologica e Invecchiamento</w:t>
      </w:r>
    </w:p>
    <w:p>
      <w:pPr>
        <w:spacing w:after="0" w:before="0"/>
        <w:jc w:val="center"/>
      </w:pPr>
      <w:r>
        <w:rPr>
          <w:rFonts w:ascii="Arial" w:cs="Arial" w:eastAsia="Arial" w:hAnsi="Arial"/>
          <w:color w:val="888888"/>
          <w:sz w:val="18"/>
          <w:szCs w:val="18"/>
        </w:rPr>
        <w:t xml:space="preserve">Documento riservato — uso interno — Giugno 2026</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spacing w:after="0" w:before="100"/>
      <w:jc w:val="center"/>
    </w:pPr>
    <w:r>
      <w:rPr>
        <w:rFonts w:ascii="Arial" w:cs="Arial" w:eastAsia="Arial" w:hAnsi="Arial"/>
        <w:color w:val="888888"/>
        <w:sz w:val="18"/>
        <w:szCs w:val="18"/>
      </w:rPr>
      <w:t xml:space="preserve">Documento riservato — uso interno — Pagina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di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spacing w:after="100" w:before="0"/>
      <w:jc w:val="right"/>
    </w:pPr>
    <w:r>
      <w:rPr>
        <w:rFonts w:ascii="Arial" w:cs="Arial" w:eastAsia="Arial" w:hAnsi="Arial"/>
        <w:i/>
        <w:iCs/>
        <w:color w:val="888888"/>
        <w:sz w:val="18"/>
        <w:szCs w:val="18"/>
      </w:rPr>
      <w:t xml:space="preserve">BioAge Project — Report EDA — Giugno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8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2026-06-10T12:39:03.900Z</dcterms:created>
  <dcterms:modified xsi:type="dcterms:W3CDTF">2026-06-10T12:39:03.921Z</dcterms:modified>
</cp:coreProperties>
</file>

<file path=docProps/custom.xml><?xml version="1.0" encoding="utf-8"?>
<Properties xmlns="http://schemas.openxmlformats.org/officeDocument/2006/custom-properties" xmlns:vt="http://schemas.openxmlformats.org/officeDocument/2006/docPropsVTypes"/>
</file>