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85FA5" w:sz="8" w:space="4"/>
        </w:pBdr>
        <w:spacing w:after="200" w:before="800"/>
        <w:jc w:val="center"/>
      </w:pPr>
      <w:r>
        <w:rPr>
          <w:rFonts w:ascii="Arial" w:cs="Arial" w:eastAsia="Arial" w:hAnsi="Arial"/>
          <w:b/>
          <w:bCs/>
          <w:color w:val="185FA5"/>
          <w:sz w:val="60"/>
          <w:szCs w:val="60"/>
        </w:rPr>
        <w:t xml:space="preserve">BIOAGE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Analisi Descrittiva dei Marcatori Biologici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Documentazione tecnica del codice e dei risultati esplorativi</w:t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Dataset:  df_markers_bioage__anon.xlsx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Pazienti unici: 12.500  |  Osservazioni totali: 16.262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Periodo di raccolta: gennaio 2021 — maggio 2026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Linguaggio: Python 3  |  Librerie: pandas, numpy, matplotlib, seaborn, scipy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1. Introduzione e Contesto del Progetto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presente documento descrive in dettaglio il processo di analisi descrittiva condotto nell'ambito del progetto BioAge, il cui obiettivo è esplorare come i marcatori biochimici di routine evolvano con l'età e il sesso, e come possano essere combinati in score clinici compositi rilevanti per la stima dell'età biologica.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L'analisi è stata realizzata interamente in Python e si articola in due sezioni principali: la prima dedicata al caricamento e alla costruzione di feature derivate, la seconda all'esplorazione grafica del dataset. Il codice è contenuto nel file lavoro_clean.py, strutturato per favorire riproducibilità e leggibilità.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1.1 Domanda di Ricerca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domanda centrale del progetto è: è possibile identificare pattern nei marcatori biochimici di pazienti di diverse fasce d'età e sesso che siano informativi per la stima dell'invecchiamento biologico? In questa fase esplorativa l'obiettivo non è costruire un modello predittivo, ma capire la struttura dei dati, le distribuzioni, le correlazioni tra variabili e la prevalenza di valori clinicamente rilevanti.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1.2 Preparazione Preliminare del Dataset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Prima di qualsiasi analisi, il dataset originale è stato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ripulito per rimuovere valori mancanti (spazi vuoti)</w:t>
      </w:r>
      <w:r>
        <w:rPr>
          <w:rFonts w:ascii="Arial" w:cs="Arial" w:eastAsia="Arial" w:hAnsi="Arial"/>
          <w:sz w:val="22"/>
          <w:szCs w:val="22"/>
        </w:rPr>
        <w:t xml:space="preserve"> e righe incomplete. Questa fase di pulizia è stata condotta esternamente al codice principale e ha prodotto il file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df_markers_bioage__anon.xlsx</w:t>
      </w:r>
      <w:r>
        <w:rPr>
          <w:rFonts w:ascii="Arial" w:cs="Arial" w:eastAsia="Arial" w:hAnsi="Arial"/>
          <w:sz w:val="22"/>
          <w:szCs w:val="22"/>
        </w:rPr>
        <w:t xml:space="preserve">, che risulta privo di valori nulli su tutte le 17 colonne. La pulizia preventiva garantisce che tutti i calcoli e i grafici successivi siano privi di distorsioni dovute a dati mancanti.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2. Descrizione del Dataset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2.1 Struttura e Contenuto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dataset anonimizzato contiene 16.262 osservazioni relative a 12.500 pazienti unici, raccolte in un arco temporale che va dal gennaio 2021 al maggio 2026. Ogni riga rappresenta un episodio clinico, cioè una visita o un prelievo ematico di un singolo paziente in una data specifica. È quindi possibile che uno stesso paziente compaia più volte nel dataset con misurazioni a distanza di mesi o anni.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5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Righe totali (episodi)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16.262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Pazienti unici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 temporale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Gennaio 2021 – Maggio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Età minima / massima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105 anni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Pazienti di sesso maschile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Pazienti di sesso femminile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8.562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Valori mancanti dopo pulizia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su tutte le colonne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2.2 Variabili Presenti nel Dataset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dataset include variabili anagrafiche e marcatori biochimici di routine: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Identificativo anonimo del paziente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dell'Episodio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dell'accesso / prelievo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Stringa (M/F)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Sesso biologico del paziente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Età in anni alla data dell'episodio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(Alanina aminotransferasi)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Enzima epatico (U/L)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(Aspartato aminotransferasi)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Enzima epatico (U/L)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HDL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'buono' (mg/dL)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LDL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'cattivo' (mg/dL)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totale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complessivo (mg/dL)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 renale (mg/dL)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Glucosio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Glicemia a digiuno (mg/dL)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Linfociti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Globuli bianchi (10³/µL)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Neutrofili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Globuli bianchi (10³/µL)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Piastrine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Trombociti (10³/µL)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RDW-CV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Ampiezza distribuzione eritrociti 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Trigliceridi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Lipidi plasmatici (mg/dL)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Prodotto del metabolismo azotato (mg/dL)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3. Feature Engineering: Score Clinici Derivati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Uno degli aspetti più rilevanti del progetto è la costruzione di score clinici compositi a partire dai marcatori grezzi. Questi indici sono ampiamente usati nella letteratura medica e permettono di sintetizzare più dimensioni biologiche in un singolo valore numerico. Il codice calcola undici score distribuiti su cinque domini fisiopatologici.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3.1 Dominio Insulino-Resistenza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Clinica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 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ln(Trigliceridi × Glucosio /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8.82 = insulino-resistenza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dell'insulino-resistenza calcolato da parametri lipidici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TG/HDL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Trigliceridi / Colesterolo HDL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3.5 = elevato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Rapporto aterogenico correlato alla sindrome metabolica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3.2 Dominio Rischio Cardiovascolare Lipidico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Clinica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Castelli 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totale / HDL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4.5 = rischio aumentato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di rischio cardiovascolare classico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Castelli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LDL / HDL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3.0 = rischio aumentato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 raffinata del rapporto aterogenico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Non-HDL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totale − HDL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130 mg/dL ottimale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Colesterolo potenzialmente aterogenico totale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3.3 Dominio Epatico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2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Clinica</w:t>
            </w:r>
          </w:p>
        </w:tc>
        <w:tc>
          <w:tcPr>
            <w:tcW w:type="dxa" w:w="2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Ritis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/ ALT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= danno epatico acuto (MASLD)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Rapporto classico usato in epatologia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(Età × AST) / (Piastrine × √ALT)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3.25 = fibrosi avanzata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non invasivo di fibrosi epatica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3.4 Dominio Infiammatorio (Inflammaging)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Questo dominio è particolarmente rilevante per la stima dell'età biologica, poiché l'inflammaging — l'infiammazione cronica di basso grado che accompagna il processo di invecchiamento — è considerato uno dei meccanismi chiave dell'invecchiamento cellulare.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Clinica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Neutrofili / Linfociti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 = elevato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Rapporto neutrofili-linfociti, marker di infiammazione sistemica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Piastrine / Linfociti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Variabile per patologia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Rapporto piastrine-linfociti, correlato a risposta immunitaria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(Piastrine × Neutrofili) / Linfociti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 = borderline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sistémico immune-infiammatorio, composito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3.5 Dominio Metabolico-Renale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Clinica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Urea/Creatinina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Urea / Creatinina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= range normale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Distingue tra cause prerenali e intrarenali di alterazione renale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3.6 Selezione dell'Osservazione Rappresentativa per Paziente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Per i pazienti con più episodi nel dataset, è stata selezionata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l'ultima osservazione disponibile</w:t>
      </w:r>
      <w:r>
        <w:rPr>
          <w:rFonts w:ascii="Arial" w:cs="Arial" w:eastAsia="Arial" w:hAnsi="Arial"/>
          <w:sz w:val="22"/>
          <w:szCs w:val="22"/>
        </w:rPr>
        <w:t xml:space="preserve"> (ordinando per data e applicando un groupby sull'id_num). Questa scelta è motivata dal fatto che l'ultima misurazione riflette lo stato biologico più recente e aggiornato del paziente, riducendo possibili confonditori legati a episodi acuti pregressi.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dataset ridotto a una riga per paziente (denominato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df_last</w:t>
      </w:r>
      <w:r>
        <w:rPr>
          <w:rFonts w:ascii="Arial" w:cs="Arial" w:eastAsia="Arial" w:hAnsi="Arial"/>
          <w:sz w:val="22"/>
          <w:szCs w:val="22"/>
        </w:rPr>
        <w:t xml:space="preserve">) conta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12.500 righe</w:t>
      </w:r>
      <w:r>
        <w:rPr>
          <w:rFonts w:ascii="Arial" w:cs="Arial" w:eastAsia="Arial" w:hAnsi="Arial"/>
          <w:sz w:val="22"/>
          <w:szCs w:val="22"/>
        </w:rPr>
        <w:t xml:space="preserve"> ed è quello usato per tutti i grafici e le statistiche descrittive.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4. Analisi Descrittiva: i Cinque Grafici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L'analisi descrittiva è composta da cinque figure che esplorano il dataset da prospettive complementari: la distribuzione demografica, le differenze per sesso, la struttura di correlazione, la prevalenza di valori clinicamente rilevanti e l'evoluzione degli score con l'età.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Figura 1 — Distribuzione Demografica del Campione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mostra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prima figura è composta da tre pannelli affiancati che descrivono la distribuzione anagrafica del campione: istogramma con KDE dell'età, boxplot dell'età suddiviso per sesso, e istogramma delle fasce d'età predefinite (&lt; 18, 18-29, 30-44, 45-59, 60-74, 75-89, ≥ 90 anni).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Scelte tecniche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L'istogramma dell'età è stato costruito con 30 classi per garantire una granularità sufficiente su un range ampio (2–105 anni), normalizzato in densità per sovrapporlo alla curva KDE (stima non parametrica della densità).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KDE utilizza scipy.stats.gaussian_kde, che stima la distribuzione senza assumere normalità.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fasce d'età sono state definite su soglie clinicamente significative (pediatrica, giovane adulto, adulto medio, pre-anziano, anziano, grande anziano).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Colori: blu (#185FA5) per l'istogramma, rosso (#E24B4A) per la mediana nel boxplot.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si osserva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campione è fortemente adulto-centrico: le fasce 45-59 e 60-74 anni sono le più popolose, riflettendo la tipica utenza di controlli preventivi o ambulatori medici.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distribuzione per sesso mostra una sostanziale sovrapposizione delle età medie, con distribuzione simile tra M e 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coda destra è presente ma non predominante: pochi pazienti superano i 90 anni.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Figura 2 — Distribuzione dei Marker Biochimici per Sesso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mostra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Una griglia di 13 violin plot (2 righe × 7 colonne) che confrontano la distribuzione di ciascun marcatore biochimico grezzo tra femmine (F) e maschi (M), con indicazione della significatività statistica tramite t-test indipendente.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Scelte tecniche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violin plot sono stati scelti rispetto ai boxplot perché mostrano la forma intera della distribuzione (asimmetria, bimodalità, code), non solo i quartili.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mediana di ciascuna distribuzione è evidenziata in nero all'interno del violin.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 ogni pannello è stato eseguito un t-test di Student a due campioni (scipy.stats.ttest_ind), con soglie di significatività standard: ns (p ≥ 0.05), * (p &lt; 0.05), ** (p &lt; 0.01), *** (p &lt; 0.001).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Colori: rosa-rosso (#D4537E) per le donne, blu (#185FA5) per gli uomini.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si osserva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Creatinina: differenza sistematica e altamente significativa (***) tra M e F, con valori medi più elevati negli uomini, coerentemente con la nota differenza di massa muscolare.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HDL: le donne mostrano valori mediamente più elevati, riflettendo la nota protezione estrogenica del profilo lipidico.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 e AST: livelli tendenzialmente più alti negli uomini, in linea con la letteratura sulla steatosi epatica.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Neutrofili e NLR: valori simili tra sessi con sovrapposizione notevole.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Figura 3 — Heatmap delle Correlazioni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mostra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Due pannelli: a sinistra una matrice di correlazione di Pearson (triangolo inferiore) tra tutti i 13 marcatori grezzi più 4 score clinici (TyG, NLR, SII, FIB-4) e l'età; a destra un bar chart orizzontale delle correlazioni di ciascuna feature con l'età, ordinato dal più negativo al più positivo.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Scelte tecniche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colormap RdBu_r (rosso-blu divergente) con centro a 0 permette di distinguere immediatamente correlazioni positive (rosse) e negative (blu).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triangolo superiore è mascherato (mask = np.triu) per evitare ridondanza visiva.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annotazioni numeriche nelle celle sono state disabilitate per leggibilità su una matrice grande.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 bar chart, barre rosse = correlazione positiva con l'età, barre blu = correlazione negativa.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si osserva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FIB-4 mostra la correlazione positiva più elevata con l'età, essendo per costruzione dipendente dall'età stessa nella formula.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Creatinina e Urea aumentano significativamente con l'età, riflettendo il decadimento della funzione renale.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RDW-CV correla positivamente con l'età, coerentemente con la letteratura sull'anisocitosi nell'invecchiamento.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L'HDL mostra una correlazione negativa con l'età, in linea con la riduzione della protezione lipidica nel tempo.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 e AST mostrano correlazioni relativamente deboli con l'età, suggerendo che la funzione epatica acuta varia meno sistematicamente.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Alta correlazione tra Colesterolo totale e LDL (attesa per costruzione), e tra Neutrofili e SII.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Figura 4 — Prevalenza di Valori Clinicamente Alterati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mostra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 bar chart orizzontale che mostra, per 11 parametri clinici, la percentuale di pazienti (sull'ultima osservazione) che supera una soglia di rischio stabilita dalla letteratura clinica.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Scelte tecniche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soglie sono state selezionate sulla base di linee guida internazionali consolidate (ESC/EAS per il profilo lipidico, ADA per il glucosio, EASL per gli indici epatici).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Colori differenziati per gravità: rosso (#E24B4A) per prevalenze &gt; 30%, arancione (#BA7517) per 15–30%, blu (#185FA5) per &lt; 15%.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barre HDL sono calcolate separatamente per M e F usando le rispettive soglie (&lt; 40 mg/dL per M, &lt; 45 mg/dL per F).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si osserva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Colesterolo totale ≥ 190 mg/dL risulta la condizione più diffusa nel campione, indicando una popolazione con profilo lipidico mediamente elevato.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glucosio borderline (≥ 100 mg/dL) è presente in una quota rilevante, compatibile con la fascia d'età prevalente nel campione.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FIB-4 &gt; 1.30 (soglia di allerta per fibrosi epatica) interessa una percentuale non trascurabile, riflettendo il ruolo dell'età nella formula.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L'NLR ≥ 3 e il SII &gt; 500 documentano la presenza di un sottogruppo con infiammazione sistemica cronica rilevante.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Figura 5 — Score Clinici per Fascia d'Età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mostra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Una griglia di 6 boxplot (2 righe × 3 colonne) che mostrano come TyG index, NLR, SII, FIB-4, Castelli I e De Ritis varino nelle cinque fasce d'età definite: &lt; 30, 30-44, 45-59, 60-74, ≥ 75 anni.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Scelte tecniche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boxplot sono stati scelti perché permettono di confrontare mediana, IQR (dispersione interquartilica) e presenza di outlier tra gruppi multipli.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Gli outlier estremi sono stati esclusi (showfliers=False) per migliorare la leggibilità, dato che alcuni score hanno distribuzioni molto asimmetriche con outlier lontani.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mediana è evidenziata in rosso (#E24B4A) per distinguerla dal corpo del boxplot.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gradazione di blu nelle caselle (da chiaro a scuro) permette di associare visivamente la tonalità all'avanzare dell'età.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Cosa si osserva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FIB-4 cresce in modo quasi monotono con l'età, passando da valori bassi nelle fasce giovani a valori alti in quelle anziane: prevedibile per costruzione (la formula include l'età al numeratore), ma utile per validare la coerenza del dato.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NLR e SII mostrano un aumento progressivo con l'età, confermando il fenomeno dell'inflammaging.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TyG index aumenta nelle fasce di mezza età (30-59 anni) e tende a ridursi lievemente nelle fasce più anziane, possibilmente per selezione della sopravvivenza.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rapporto De Ritis rimane relativamente stabile tra le fasce, suggerendo che il pattern enzimi epatici non varia drammaticamente con l'età in una popolazione generale.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Castelli I aumenta nelle fasce centrali (45-74) e tende a stabilizzarsi o calare lievemente nei grandi anziani, compatibile con i pattern di mortalità selettiva e cambiamenti del profilo lipidico in tarda età.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5. Struttura e Organizzazione del Codice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5.1 Dipendenze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codice richiede le seguenti librerie Python: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consigliata</w:t>
            </w:r>
          </w:p>
        </w:tc>
        <w:tc>
          <w:tcPr>
            <w:tcW w:type="dxa" w:w="5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 principale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Caricamento dati, manipolazione DataFrame, groupby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Calcoli vettoriali, logaritmi, radici quadrate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 di tutti i grafici (base)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delle correlazioni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t-test, KDE (gaussian_kde)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5.2 Configurazione Grafica Globale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Prima di qualsiasi grafico, il codice imposta una configurazione globale di matplotlib tramite plt.rcParams.update(). Questo garantisce coerenza stilistica tra tutte le figure: sfondo bianco, spine superiore e destra rimosse (stile 'clean'), griglia leggera (alpha=0.3), dimensioni dei testi standardizzate.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5.3 Seed di Riproducibilità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È impostato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np.random.seed(42)</w:t>
      </w:r>
      <w:r>
        <w:rPr>
          <w:rFonts w:ascii="Arial" w:cs="Arial" w:eastAsia="Arial" w:hAnsi="Arial"/>
          <w:sz w:val="22"/>
          <w:szCs w:val="22"/>
        </w:rPr>
        <w:t xml:space="preserve"> per garantire la riproducibilità di eventuali operazioni stocastiche (ad es. il KDE usa internamente campionamenti).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5.4 Salvataggio dei Grafici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Ogni figura viene salvata come file PNG ad alta risoluzione (dpi=150) con bbox_inches='tight' per evitare il ritaglio di etichette o titoli. I file prodotti sono: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fig1_demografia.png — distribuzione demografica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fig2_marker_sesso.png — violin plot per sesso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fig3_correlazioni.png — heatmap e correlazioni con l'età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fig4_prevalenze.png — prevalenza valori alterati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fig5_score_eta.png — score per fascia d'età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6. Limitazioni e Possibili Sviluppi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6.1 Limitazioni dell'analisi corrente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L'analisi è puramente descrittiva e non consente inferenze causali.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selezione dell'ultima osservazione per paziente introduce un possibile bias di sopravvivenza: i pazienti con osservazioni più recenti sono, per definizione, sopravvissuti.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t-test assume distribuzioni approssimativamente normali, ipotesi spesso violata dai marcatori biochimici (distribuzioni fortemente asimmetriche). Per confronti più robusti si potrebbe preferire il test di Mann-Whitney 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soglie cliniche usate nella Figura 4 si riferiscono a popolazioni adulte; possono essere inadeguate per la componente pediatrica del campione.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6.2 Possibili estensioni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Modellazione predittiva: regressione o clustering per stimare l'età biologica a partire dai 25 feature (marcatori grezzi + score).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Analisi longitudinale: per i pazienti con osservazioni multiple, studiare la traiettoria temporale dei marker.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Stratificazione per comorbidità: se disponibili, informazioni cliniche aggiuntive (diabete, ipertensione, ecc.) permetterebbero analisi più fini.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Modelli di machine learning interpretabili (SHAP, XGBoost) per identificare i feature più predittivi dell'età biologica.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85FA5"/>
          <w:sz w:val="30"/>
          <w:szCs w:val="30"/>
        </w:rPr>
        <w:t xml:space="preserve">7. Glossario dei Termini Tecnici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/ AST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Alanina e Aspartato aminotransferasi: enzimi rilasciati in caso di danno epatico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HDL / LDL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Lipoproteine ad alta e bassa densità: trasportatori del colesterolo nel sangue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RDW-CV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Cell Distribution Width: ampiezza di distribuzione degli eritrociti, marker di anisocitosi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TyG Index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Triglyceride-Glucose Index: indice di insulino-resistenza non invasivo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NLR / PLR / SII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Rapporti derivati dagli emocromi: marker di infiammazione sistemica e risposta immunitaria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FIB-4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Fibrosis-4 Index: score non invasivo per la stima della fibrosi epatica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Ritis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Rapporto AST/ALT: classico indicatore del tipo di danno epatico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Castelli I e II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Indici di rischio cardiovascolare basati sul colesterolo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Density Estimation: stima non parametrica della densità di probabilità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Inflammaging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Infiammazione cronica di basso grado associata all'invecchiamento biologico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Età biologica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Stima dell'età 'funzionale' di un organismo basata su biomarker, distinta dall'età anagrafica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Metabolic-Associated Steatotic Liver Disease: steatosi epatica di origine metabolica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df_last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Sottoinsieme del dataset con una sola riga per paziente (ultima osservazione disponibile)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85FA5" w:sz="4" w:space="4"/>
        </w:pBdr>
        <w:spacing w:after="80" w:before="4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Note finali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codice è pensato per essere modulare e riproducibile. Ciascuna sezione grafica è indipendente e può essere eseguita singolarmente. Tutti i grafici seguono una palette coerente (blu #185FA5 per elementi principali, rosso #E24B4A per accenti o significatività statistica) per facilitare la lettura comparata tra figure.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Il dataset anonimizzato non contiene dati identificativi dei pazienti: ogni paziente è identificato unicamente dal campo id_num, un numero intero progressivo senza corrispondenza con l'identità reale.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BioAge — Analisi Descrittiva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C44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2026-05-27T14:59:36.880Z</dcterms:created>
  <dcterms:modified xsi:type="dcterms:W3CDTF">2026-05-27T14:59:36.880Z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