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FOUGA CM 170</w:t>
      </w:r>
    </w:p>
    <w:p>
      <w:pPr>
        <w:jc w:val="center"/>
      </w:pPr>
      <w:r>
        <w:rPr>
          <w:b/>
          <w:bCs/>
        </w:rPr>
        <w:t xml:space="preserve">Manuel de l’équipage — Partie Texte</w:t>
      </w:r>
    </w:p>
    <w:p>
      <w:pPr>
        <w:spacing w:after="160"/>
        <w:jc w:val="center"/>
      </w:pPr>
      <w:r>
        <w:t xml:space="preserve">CHAPITRE II — Section III : Limitations</w:t>
      </w:r>
    </w:p>
    <w:p>
      <w:pPr>
        <w:pStyle w:val="Heading1"/>
      </w:pPr>
      <w:r>
        <w:t xml:space="preserve">3.1.  REACTEURS</w:t>
      </w:r>
    </w:p>
    <w:p>
      <w:pPr>
        <w:pStyle w:val="Heading2"/>
      </w:pPr>
      <w:r>
        <w:t xml:space="preserve">3.1.1.  Valeurs maxima à ne pas dépasser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900"/>
        <w:gridCol w:w="1700"/>
        <w:gridCol w:w="1726"/>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Régime tr/mn</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Température maximale de tuyère</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Poussée statique Kg.</w:t>
            </w:r>
          </w:p>
        </w:tc>
        <w:tc>
          <w:tcPr>
            <w:tcW w:type="dxa" w:w="1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Durée maximale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Point fixe</w:t>
            </w:r>
          </w:p>
          <w:p>
            <w:pPr>
              <w:jc w:val="center"/>
            </w:pPr>
            <w:r>
              <w:rPr>
                <w:b w:val="false"/>
                <w:bCs w:val="false"/>
              </w:rPr>
              <w:t xml:space="preserve">Décollage</w:t>
            </w:r>
          </w:p>
          <w:p>
            <w:pPr>
              <w:jc w:val="center"/>
            </w:pPr>
            <w:r>
              <w:rPr>
                <w:b w:val="false"/>
                <w:bCs w:val="false"/>
              </w:rPr>
              <w:t xml:space="preserve">Montée</w:t>
            </w:r>
          </w:p>
          <w:p>
            <w:pPr>
              <w:jc w:val="center"/>
            </w:pPr>
            <w:r>
              <w:rPr>
                <w:b w:val="false"/>
                <w:bCs w:val="false"/>
              </w:rPr>
              <w:t xml:space="preserve">Croisière maxi</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21 500</w:t>
            </w:r>
          </w:p>
          <w:p>
            <w:pPr>
              <w:jc w:val="center"/>
            </w:pPr>
            <w:r>
              <w:rPr>
                <w:b w:val="false"/>
                <w:bCs w:val="false"/>
              </w:rPr>
              <w:t xml:space="preserve">+ 50 / − 100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650°C</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480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illimitée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Ralenti</w:t>
            </w:r>
          </w:p>
          <w:p>
            <w:pPr>
              <w:jc w:val="center"/>
            </w:pPr>
            <w:r>
              <w:rPr>
                <w:b w:val="false"/>
                <w:bCs w:val="false"/>
              </w:rPr>
              <w:t xml:space="preserve">d’approche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11 500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450°C</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75</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non limitée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Ralenti au sol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6200 à 7000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450°C</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20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15′</w:t>
            </w:r>
          </w:p>
        </w:tc>
      </w:tr>
    </w:tbl>
    <w:p>
      <w:pPr>
        <w:spacing w:after="80" w:before="60"/>
        <w:ind w:left="340"/>
        <w:jc w:val="both"/>
      </w:pPr>
      <w:r>
        <w:rPr>
          <w:b/>
          <w:bCs/>
        </w:rPr>
        <w:t xml:space="preserve">NOTA 1 : </w:t>
      </w:r>
      <w:r>
        <w:t xml:space="preserve">Il est recommandé aux pilotes d’intervenir sur la manette des gaz dès que la première de ces valeurs maximales est atteinte. Tout dépassement de ces valeurs doit être signalé sur les formes 11, en précisant le temps et l’importance de dépassement. Cependant au début de montée au régime maximum, il peut être constaté une croissance régulière du régime, celui-ci pouvant avoisiner 21 750 tr/mn vers 10 000 pieds, suivi au-dessus de cette altitude (vers 30 000 pieds) d’une décroissance (21 600 tr/mn) due à l’action du correcteur altimétrique et d’une nouvelle croissance vers 35 000 pieds (21 750 tr/mn). Ces régimes peuvent être maintenus pendant quinze minutes à condition que la température soit toujours inférieure ou égale à 650°C.</w:t>
      </w:r>
    </w:p>
    <w:p>
      <w:pPr>
        <w:spacing w:after="80" w:before="60"/>
        <w:ind w:left="340"/>
        <w:jc w:val="both"/>
      </w:pPr>
      <w:r>
        <w:rPr>
          <w:b/>
          <w:bCs/>
        </w:rPr>
        <w:t xml:space="preserve">NOTA 2 : </w:t>
      </w:r>
      <w:r>
        <w:t xml:space="preserve">En fin de phase accélération, la valeur maximale admissible de la vitesse de rotation est de 21 900 tr/mn. La valeur maximale de température tuyère admissible est de 665°C. Le rétablissement des vitesses de rotation et température tuyère aux valeurs fixées pour le régime de décollage et maximum continu doit s’effectuer dans un temps inférieur à 3 secondes.</w:t>
      </w:r>
    </w:p>
    <w:p>
      <w:pPr>
        <w:pStyle w:val="Heading2"/>
      </w:pPr>
      <w:r>
        <w:t xml:space="preserve">3.1.2.  Circuit d’huile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6"/>
        <w:gridCol w:w="1806"/>
        <w:gridCol w:w="1806"/>
        <w:gridCol w:w="1808"/>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
            </w:r>
          </w:p>
        </w:tc>
        <w:tc>
          <w:tcPr>
            <w:tcW w:type="dxa" w:w="18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Au sol</w:t>
            </w:r>
          </w:p>
        </w:tc>
        <w:tc>
          <w:tcPr>
            <w:tcW w:type="dxa" w:w="18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Mini.</w:t>
            </w:r>
          </w:p>
        </w:tc>
        <w:tc>
          <w:tcPr>
            <w:tcW w:type="dxa" w:w="180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Normal</w:t>
            </w:r>
          </w:p>
        </w:tc>
        <w:tc>
          <w:tcPr>
            <w:tcW w:type="dxa" w:w="180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rPr>
              <w:t xml:space="preserve">Maxi.</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Pression</w:t>
            </w:r>
          </w:p>
        </w:tc>
        <w:tc>
          <w:tcPr>
            <w:tcW w:type="dxa" w:w="1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0,5 hpz ou Bar</w:t>
            </w:r>
          </w:p>
        </w:tc>
        <w:tc>
          <w:tcPr>
            <w:tcW w:type="dxa" w:w="1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0,8 hpz ou Bar</w:t>
            </w:r>
          </w:p>
        </w:tc>
        <w:tc>
          <w:tcPr>
            <w:tcW w:type="dxa" w:w="1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2 à 4 hpz ou Bars</w:t>
            </w:r>
          </w:p>
        </w:tc>
        <w:tc>
          <w:tcPr>
            <w:tcW w:type="dxa" w:w="18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4,5 hpz ou Bars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Température</w:t>
            </w:r>
          </w:p>
        </w:tc>
        <w:tc>
          <w:tcPr>
            <w:tcW w:type="dxa" w:w="1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20°C</w:t>
            </w:r>
          </w:p>
        </w:tc>
        <w:tc>
          <w:tcPr>
            <w:tcW w:type="dxa" w:w="1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10°C</w:t>
            </w:r>
          </w:p>
        </w:tc>
        <w:tc>
          <w:tcPr>
            <w:tcW w:type="dxa" w:w="1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50°C</w:t>
            </w:r>
          </w:p>
        </w:tc>
        <w:tc>
          <w:tcPr>
            <w:tcW w:type="dxa" w:w="18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val="false"/>
                <w:bCs w:val="false"/>
              </w:rPr>
              <w:t xml:space="preserve">85°C</w:t>
            </w:r>
          </w:p>
        </w:tc>
      </w:tr>
    </w:tbl>
    <w:p>
      <w:pPr>
        <w:spacing w:after="80"/>
        <w:ind w:left="340"/>
        <w:jc w:val="both"/>
      </w:pPr>
      <w:r>
        <w:t xml:space="preserve">Le tableau de bord de la place arrière ne comporte pas de manomètre de pression d’huile, mais deux lampes rouges (1 par réacteur) s’allumant quand la pression d’huile descend en dessous de 0,8 hpz.</w:t>
      </w:r>
    </w:p>
    <w:p>
      <w:pPr>
        <w:spacing w:after="80"/>
        <w:ind w:left="340"/>
        <w:jc w:val="both"/>
      </w:pPr>
      <w:r>
        <w:t xml:space="preserve">Si la pression d’huile est nulle, les réacteurs peuvent en cas de nécessité être utilisés pendant 10 à 15 minutes. Le fait de couper le réacteur réduira quelque peu les dégâts, bien que celui-ci tourne suffisamment vite en autorotation pour être détérioré. On ne peut agir en vol sur le volet de refroidissement des réservoirs d’huile qui n’est réglable qu’au sol. La plage d’utilisation est assez grande pour qu’en fonctionnement normal les limites ne soient pas dépassées.</w:t>
      </w:r>
    </w:p>
    <w:p>
      <w:pPr>
        <w:pStyle w:val="Heading2"/>
      </w:pPr>
      <w:r>
        <w:t xml:space="preserve">3.1.3.  Actions sur les manettes des gaz</w:t>
      </w:r>
    </w:p>
    <w:p>
      <w:pPr>
        <w:spacing w:after="80"/>
        <w:ind w:left="340"/>
        <w:jc w:val="both"/>
      </w:pPr>
      <w:r>
        <w:t xml:space="preserve">En vol, la rapidité de manœuvre des manettes de gaz n’est pas limitée pour de faibles variations de régime (changement de régime, formation etc...), grâce au contrôleur d’accélérations (boîte d’équilibrage).</w:t>
      </w:r>
    </w:p>
    <w:p>
      <w:pPr>
        <w:spacing w:after="80"/>
        <w:ind w:left="340"/>
        <w:jc w:val="both"/>
      </w:pPr>
      <w:r>
        <w:t xml:space="preserve">Le temps d’accélération des réacteurs varie avec l’altitude et la vitesse : en particulier, dans les basses couches, il faut environ 10 secondes pour passer à Vi 110 nœuds, du plein ralenti au régime maximum.</w:t>
      </w:r>
    </w:p>
    <w:p>
      <w:pPr>
        <w:spacing w:after="80"/>
        <w:ind w:left="340"/>
        <w:jc w:val="both"/>
      </w:pPr>
      <w:r>
        <w:t xml:space="preserve">Au sol, au-dessous de 17 000 tr/mn, le contrôleur d’accélération n’ayant aucun effet, les manettes ne doivent pas être maniées trop rapidement, ni trop brutalement, ceci pour éviter le pompage (voir § 6.9.1).</w:t>
      </w:r>
    </w:p>
    <w:p>
      <w:pPr>
        <w:spacing w:after="80"/>
        <w:ind w:left="340"/>
        <w:jc w:val="both"/>
      </w:pPr>
      <w:r>
        <w:t xml:space="preserve">Ce pompage se manifeste par des à-coups violents (genre tir au canon) et une élévation de la température tuyère (voir § 6.9.1).</w:t>
      </w:r>
    </w:p>
    <w:p>
      <w:pPr>
        <w:pStyle w:val="Heading1"/>
      </w:pPr>
      <w:r>
        <w:t xml:space="preserve">3.2.  AVION</w:t>
      </w:r>
    </w:p>
    <w:p>
      <w:pPr>
        <w:spacing w:after="80"/>
        <w:ind w:left="340"/>
        <w:jc w:val="both"/>
      </w:pPr>
      <w:r>
        <w:t xml:space="preserve">Pour les avions équipés de réservoirs 122 litres, les limitations de vitesse et d’accélération sont les mêmes avec bidons vides, bidons pleins et sans bidons.</w:t>
      </w:r>
    </w:p>
    <w:p>
      <w:pPr>
        <w:pStyle w:val="Heading2"/>
      </w:pPr>
      <w:r>
        <w:t xml:space="preserve">3.2.1.  Vol à grande vitesse indiquée (planche 78)</w:t>
      </w:r>
    </w:p>
    <w:p>
      <w:pPr>
        <w:spacing w:after="40"/>
        <w:ind w:left="700" w:hanging="360"/>
      </w:pPr>
      <w:r>
        <w:t xml:space="preserve">a) Bidons 122 litres : la vitesse maximum autorisée est limitée à 400 nœuds (que l’on peut atteindre en altitude concurremment avec 0,82 de mach).</w:t>
      </w:r>
    </w:p>
    <w:p>
      <w:pPr>
        <w:spacing w:after="40"/>
        <w:ind w:left="700" w:hanging="360"/>
      </w:pPr>
      <w:r>
        <w:t xml:space="preserve">b) Bidons 230 litres pleins la vitesse maximum autorisée est limitée à :</w:t>
      </w:r>
    </w:p>
    <w:p>
      <w:pPr>
        <w:tabs>
          <w:tab w:val="left" w:pos="2600"/>
        </w:tabs>
        <w:spacing w:after="20"/>
        <w:ind w:left="1060"/>
      </w:pPr>
      <w:r>
        <w:t xml:space="preserve">300 nœuds	bidons non entièrement vides</w:t>
      </w:r>
    </w:p>
    <w:p>
      <w:pPr>
        <w:tabs>
          <w:tab w:val="left" w:pos="2600"/>
        </w:tabs>
        <w:spacing w:after="20"/>
        <w:ind w:left="1060"/>
      </w:pPr>
      <w:r>
        <w:t xml:space="preserve">350 nœuds	bidons entièrement vides.</w:t>
      </w:r>
    </w:p>
    <w:p>
      <w:pPr>
        <w:pStyle w:val="Heading2"/>
      </w:pPr>
      <w:r>
        <w:t xml:space="preserve">3.2.2.  Vol à grand nombre de mach (planches 78 et 79)</w:t>
      </w:r>
    </w:p>
    <w:p>
      <w:pPr>
        <w:spacing w:after="80"/>
        <w:ind w:left="340"/>
        <w:jc w:val="both"/>
      </w:pPr>
      <w:r>
        <w:t xml:space="preserve">Le nombre de « mach » indiqué à ne pas dépasser est 0,82.</w:t>
      </w:r>
    </w:p>
    <w:p>
      <w:pPr>
        <w:pStyle w:val="Heading2"/>
      </w:pPr>
      <w:r>
        <w:t xml:space="preserve">3.2.3.  Facteur de charge</w:t>
      </w:r>
    </w:p>
    <w:p>
      <w:pPr>
        <w:spacing w:after="40"/>
        <w:ind w:left="340"/>
      </w:pPr>
      <w:r>
        <w:t xml:space="preserve">Les facteurs de charge à ne pas dépasser sont les suivants :</w:t>
      </w:r>
    </w:p>
    <w:p>
      <w:pPr>
        <w:spacing w:after="40"/>
        <w:ind w:left="700" w:hanging="360"/>
      </w:pPr>
      <w:r>
        <w:t xml:space="preserve">a) bidons 125 litres</w:t>
      </w:r>
    </w:p>
    <w:p>
      <w:pPr>
        <w:tabs>
          <w:tab w:val="left" w:pos="3300"/>
        </w:tabs>
        <w:spacing w:after="20"/>
        <w:ind w:left="1400"/>
      </w:pPr>
      <w:r>
        <w:t xml:space="preserve">ressource positive	+ 5,5 g</w:t>
      </w:r>
    </w:p>
    <w:p>
      <w:pPr>
        <w:tabs>
          <w:tab w:val="left" w:pos="3300"/>
        </w:tabs>
        <w:spacing w:after="20"/>
        <w:ind w:left="1400"/>
      </w:pPr>
      <w:r>
        <w:t xml:space="preserve">ressource négative	−  3 g</w:t>
      </w:r>
    </w:p>
    <w:p>
      <w:pPr>
        <w:spacing w:after="40"/>
        <w:ind w:left="700" w:hanging="360"/>
      </w:pPr>
      <w:r>
        <w:t xml:space="preserve">b) bidons 230 litres</w:t>
      </w:r>
    </w:p>
    <w:p>
      <w:pPr>
        <w:tabs>
          <w:tab w:val="left" w:pos="3300"/>
        </w:tabs>
        <w:spacing w:after="20"/>
        <w:ind w:left="1400"/>
      </w:pPr>
      <w:r>
        <w:t xml:space="preserve">ressource positive	+ 3,5 g</w:t>
      </w:r>
    </w:p>
    <w:p>
      <w:pPr>
        <w:tabs>
          <w:tab w:val="left" w:pos="3300"/>
        </w:tabs>
        <w:spacing w:after="20"/>
        <w:ind w:left="1400"/>
      </w:pPr>
      <w:r>
        <w:t xml:space="preserve">ressource négative	− 1,4 g</w:t>
      </w:r>
    </w:p>
    <w:p>
      <w:pPr>
        <w:spacing w:after="40"/>
        <w:ind w:left="340"/>
      </w:pPr>
      <w:r>
        <w:t xml:space="preserve">avec ailerons braqués à fond  ne pas dépasser + 3 g.</w:t>
      </w:r>
    </w:p>
    <w:p>
      <w:pPr>
        <w:pStyle w:val="Heading2"/>
      </w:pPr>
      <w:r>
        <w:t xml:space="preserve">3.2.4.  Plafond</w:t>
      </w:r>
    </w:p>
    <w:p>
      <w:pPr>
        <w:tabs>
          <w:tab w:val="left" w:pos="2400"/>
        </w:tabs>
        <w:spacing w:after="20"/>
        <w:ind w:left="340"/>
      </w:pPr>
      <w:r>
        <w:t xml:space="preserve">Plafond pratique	40 000 pieds</w:t>
      </w:r>
    </w:p>
    <w:p>
      <w:pPr>
        <w:tabs>
          <w:tab w:val="left" w:pos="2400"/>
        </w:tabs>
        <w:spacing w:after="20"/>
        <w:ind w:left="340"/>
      </w:pPr>
      <w:r>
        <w:t xml:space="preserve">Plafond maxi	48 000 pieds</w:t>
      </w:r>
    </w:p>
    <w:p>
      <w:pPr>
        <w:spacing w:after="40"/>
        <w:ind w:left="340"/>
      </w:pPr>
      <w:r>
        <w:t xml:space="preserve">Altitudes limites normales d’utilisation</w:t>
      </w:r>
    </w:p>
    <w:p>
      <w:pPr>
        <w:spacing w:after="80"/>
        <w:ind w:left="340"/>
        <w:jc w:val="both"/>
      </w:pPr>
      <w:r>
        <w:t xml:space="preserve">En raison des extinctions fréquentes du Marboré VI au-dessus de 30 000 pieds, extinction généralement produite par un mouvement de manette dans le sens d’une réduction de régime, l’altitude limite normale d’utilisation du réacteur est fixée à 30 000 pieds.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0"/>
              <w:jc w:val="center"/>
            </w:pPr>
            <w:r>
              <w:t xml:space="preserve">Emport de la bouteille d’oxygène de secours pour tout vol au-dessus de 25 000 pieds.</w:t>
            </w:r>
          </w:p>
        </w:tc>
      </w:tr>
    </w:tbl>
    <w:p>
      <w:pPr>
        <w:pStyle w:val="Heading2"/>
      </w:pPr>
      <w:r>
        <w:t xml:space="preserve">3.2.5.  Limitation de vol au-dessus de 25 000 pieds</w:t>
      </w:r>
    </w:p>
    <w:p>
      <w:pPr>
        <w:spacing w:after="80"/>
        <w:ind w:left="340"/>
        <w:jc w:val="both"/>
      </w:pPr>
      <w:r>
        <w:t xml:space="preserve">Les réacteurs Marboré VI sont très sensibles à l’association de certains facteurs météorologiques (degré hygrométrique, basse température, etc...). Les statistiques relatives aux extinctions réacteur font apparaître que ces extinctions se produisent le plus fréquemment à une altitude supérieure à 25 000 pieds et surtout lorsque le pilote réduit les gaz au-dessous d’un régime de croisière sensiblement égal à 21 000 tr/mn. En conséquence, pour les vols effectués à une altitude supérieure à 25 000 pieds, la procédure suivante sera appliquée :</w:t>
      </w:r>
    </w:p>
    <w:p>
      <w:pPr>
        <w:pStyle w:val="ListParagraph"/>
        <w:numPr>
          <w:ilvl w:val="0"/>
          <w:numId w:val="2"/>
        </w:numPr>
        <w:spacing w:after="20"/>
      </w:pPr>
      <w:r>
        <w:t xml:space="preserve">réduire en premier le réacteur droit ; lorsque le régime est stabilisé à la valeur désirée, réduire le réacteur gauche</w:t>
      </w:r>
    </w:p>
    <w:p>
      <w:pPr>
        <w:pStyle w:val="ListParagraph"/>
        <w:numPr>
          <w:ilvl w:val="0"/>
          <w:numId w:val="2"/>
        </w:numPr>
        <w:spacing w:after="20"/>
      </w:pPr>
      <w:r>
        <w:t xml:space="preserve">afficher un régime de croisière au moins égal à 21 000 tr/mn</w:t>
      </w:r>
    </w:p>
    <w:p>
      <w:pPr>
        <w:pStyle w:val="ListParagraph"/>
        <w:numPr>
          <w:ilvl w:val="0"/>
          <w:numId w:val="2"/>
        </w:numPr>
        <w:spacing w:after="20"/>
      </w:pPr>
      <w:r>
        <w:t xml:space="preserve">conserver une vitesse ≥ 200 nœuds.</w:t>
      </w:r>
    </w:p>
    <w:p>
      <w:pPr>
        <w:pStyle w:val="Heading2"/>
      </w:pPr>
      <w:r>
        <w:t xml:space="preserve">3.2.6.  Centrage</w:t>
      </w:r>
    </w:p>
    <w:p>
      <w:pPr>
        <w:spacing w:after="80"/>
        <w:ind w:left="340"/>
        <w:jc w:val="both"/>
      </w:pPr>
      <w:r>
        <w:t xml:space="preserve">Dans tous les cas de chargements possibles (1 ou 2 pilotes, avec ou sans armement, bidons pleins ou vides), l’avion reste dans les limites de centrage correct (23 % - 33 %).</w:t>
      </w:r>
    </w:p>
    <w:p>
      <w:pPr>
        <w:pStyle w:val="Heading2"/>
      </w:pPr>
      <w:r>
        <w:t xml:space="preserve">3.2.7.  Manœuvres interdites</w:t>
      </w:r>
    </w:p>
    <w:p>
      <w:pPr>
        <w:spacing w:after="40"/>
        <w:ind w:left="340"/>
      </w:pPr>
      <w:r>
        <w:t xml:space="preserve">Bidons 230 litres : vrilles, voltige, compressibilité.</w:t>
      </w:r>
    </w:p>
    <w:p>
      <w:pPr>
        <w:spacing w:after="40"/>
        <w:ind w:left="340"/>
      </w:pPr>
      <w:r>
        <w:t xml:space="preserve">Bidons 122 litres non vides : vrille, décrochage en virage.</w:t>
      </w:r>
    </w:p>
    <w:p>
      <w:pPr>
        <w:pStyle w:val="Heading1"/>
      </w:pPr>
      <w:r>
        <w:t xml:space="preserve">3.3.  LIMITATIONS D’UTILISATION DE CERTAINS CIRCUITS (maxi ou mini)</w:t>
      </w:r>
    </w:p>
    <w:p>
      <w:pPr>
        <w:spacing w:after="80"/>
        <w:ind w:left="340"/>
      </w:pPr>
      <w:r>
        <w:rPr>
          <w:i/>
          <w:iCs/>
          <w:color w:val="808080"/>
          <w:sz w:val="18"/>
          <w:szCs w:val="18"/>
        </w:rPr>
        <w:t xml:space="preserve">Titre imprimé ; la table des matières indique « Limitations d’utilisation de certains circuits » (sans la mention « maxi ou mini »).</w:t>
      </w:r>
    </w:p>
    <w:p>
      <w:pPr>
        <w:pStyle w:val="Heading2"/>
      </w:pPr>
      <w:r>
        <w:t xml:space="preserve">3.3.1.  Train</w:t>
      </w:r>
    </w:p>
    <w:p>
      <w:pPr>
        <w:spacing w:after="80"/>
        <w:ind w:left="340"/>
        <w:jc w:val="both"/>
      </w:pPr>
      <w:r>
        <w:t xml:space="preserve">Le train doit être manœuvré à Vi ≤ 140 nœuds. Durée de la manœuvre : sortie 5 secondes - rentrée 3,5 secondes.</w:t>
      </w:r>
    </w:p>
    <w:p>
      <w:pPr>
        <w:pStyle w:val="Heading2"/>
      </w:pPr>
      <w:r>
        <w:t xml:space="preserve">3.3.2.  Volet</w:t>
      </w:r>
    </w:p>
    <w:p>
      <w:pPr>
        <w:spacing w:after="40"/>
        <w:ind w:left="340"/>
      </w:pPr>
      <w:r>
        <w:t xml:space="preserve">Rentrer les volets à Vi ≤ 140 nœuds</w:t>
      </w:r>
    </w:p>
    <w:p>
      <w:pPr>
        <w:spacing w:after="40"/>
        <w:ind w:left="340"/>
      </w:pPr>
      <w:r>
        <w:t xml:space="preserve">Sortir les volets jusqu’à 15° à Vi ≤ 140 nœuds  de 15 à 40 à Vi ≤ 130 nœuds</w:t>
      </w:r>
    </w:p>
    <w:p>
      <w:pPr>
        <w:spacing w:after="40"/>
        <w:ind w:left="340"/>
      </w:pPr>
      <w:r>
        <w:t xml:space="preserve">La commande de la place arrière est prioritaire</w:t>
      </w:r>
    </w:p>
    <w:p>
      <w:pPr>
        <w:spacing w:after="80" w:before="60"/>
        <w:ind w:left="340"/>
        <w:jc w:val="both"/>
      </w:pPr>
      <w:r>
        <w:rPr>
          <w:b/>
          <w:bCs/>
        </w:rPr>
        <w:t xml:space="preserve">NOTA : </w:t>
      </w:r>
      <w:r>
        <w:t xml:space="preserve">Pour les avions équipés de réservoirs de 230 litres ne rentrer les volets qu’à la vitesse de 125 nœuds et l’altitude de sécurité de 300 pieds.</w:t>
      </w:r>
    </w:p>
    <w:p>
      <w:pPr>
        <w:pStyle w:val="Heading2"/>
      </w:pPr>
      <w:r>
        <w:t xml:space="preserve">3.3.3.  Aérofreins</w:t>
      </w:r>
    </w:p>
    <w:p>
      <w:pPr>
        <w:spacing w:after="80"/>
        <w:ind w:left="340"/>
        <w:jc w:val="both"/>
      </w:pPr>
      <w:r>
        <w:t xml:space="preserve">Aucune limitation pour les avions équipés de réservoirs de 122 litres. Pour les avions équipés de réservoirs 230 litres, la sortie des aérofreins est déconseillée bidons non vides.</w:t>
      </w:r>
    </w:p>
    <w:p>
      <w:pPr>
        <w:spacing w:after="40"/>
        <w:ind w:left="340"/>
      </w:pPr>
      <w:r>
        <w:t xml:space="preserve">La commande de la place arrière est prioritaire.</w:t>
      </w:r>
    </w:p>
    <w:p>
      <w:pPr>
        <w:pStyle w:val="Heading2"/>
      </w:pPr>
      <w:r>
        <w:t xml:space="preserve">3.3.4.  Ailerons</w:t>
      </w:r>
    </w:p>
    <w:p>
      <w:pPr>
        <w:spacing w:after="80"/>
        <w:ind w:left="340"/>
        <w:jc w:val="both"/>
      </w:pPr>
      <w:r>
        <w:t xml:space="preserve">Les ailerons peuvent être braqués à fond à toutes les vitesses et dans toutes les configurations de l’avion jusqu’à un facteur de charge maxi de 3 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280"/>
      </w:pPr>
    </w:lvl>
    <w:lvl w:ilvl="1" w15:tentative="1">
      <w:start w:val="1"/>
      <w:numFmt w:val="bullet"/>
      <w:lvlText w:val="·"/>
      <w:lvlJc w:val="left"/>
      <w:pPr>
        <w:ind w:left="11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000000"/>
      <w:sz w:val="56"/>
      <w:szCs w:val="56"/>
    </w:rPr>
  </w:style>
  <w:style w:type="paragraph" w:styleId="Heading1">
    <w:name w:val="Heading 1"/>
    <w:basedOn w:val="Normal"/>
    <w:next w:val="Normal"/>
    <w:qFormat/>
    <w:pPr>
      <w:spacing w:after="120" w:before="2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5496"/>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2026-06-08T17:16:29.721Z</dcterms:created>
  <dcterms:modified xsi:type="dcterms:W3CDTF">2026-06-08T17:16:29.721Z</dcterms:modified>
</cp:coreProperties>
</file>

<file path=docProps/custom.xml><?xml version="1.0" encoding="utf-8"?>
<Properties xmlns="http://schemas.openxmlformats.org/officeDocument/2006/custom-properties" xmlns:vt="http://schemas.openxmlformats.org/officeDocument/2006/docPropsVTypes"/>
</file>