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B0EEE" w14:textId="77777777" w:rsidR="009B53C7" w:rsidRDefault="009B53C7" w:rsidP="009B53C7">
      <w:pPr>
        <w:spacing w:after="0" w:line="480" w:lineRule="auto"/>
        <w:jc w:val="center"/>
        <w:rPr>
          <w:rFonts w:ascii="Times New Roman" w:hAnsi="Times New Roman" w:cs="Times New Roman"/>
          <w:b/>
          <w:bCs/>
          <w:sz w:val="24"/>
          <w:szCs w:val="24"/>
        </w:rPr>
      </w:pPr>
    </w:p>
    <w:p w14:paraId="3A27A5A5" w14:textId="77777777" w:rsidR="000F69D6" w:rsidRDefault="000F69D6" w:rsidP="009B53C7">
      <w:pPr>
        <w:spacing w:after="0" w:line="480" w:lineRule="auto"/>
        <w:jc w:val="center"/>
        <w:rPr>
          <w:rFonts w:ascii="Times New Roman" w:hAnsi="Times New Roman" w:cs="Times New Roman"/>
          <w:b/>
          <w:bCs/>
          <w:sz w:val="24"/>
          <w:szCs w:val="24"/>
        </w:rPr>
      </w:pPr>
    </w:p>
    <w:p w14:paraId="1283D621" w14:textId="77777777" w:rsidR="000F69D6" w:rsidRDefault="000F69D6" w:rsidP="009B53C7">
      <w:pPr>
        <w:spacing w:after="0" w:line="480" w:lineRule="auto"/>
        <w:jc w:val="center"/>
        <w:rPr>
          <w:rFonts w:ascii="Times New Roman" w:hAnsi="Times New Roman" w:cs="Times New Roman"/>
          <w:b/>
          <w:bCs/>
          <w:sz w:val="24"/>
          <w:szCs w:val="24"/>
        </w:rPr>
      </w:pPr>
    </w:p>
    <w:p w14:paraId="161C6E33" w14:textId="77777777" w:rsidR="000F69D6" w:rsidRDefault="000F69D6" w:rsidP="009B53C7">
      <w:pPr>
        <w:spacing w:after="0" w:line="480" w:lineRule="auto"/>
        <w:jc w:val="center"/>
        <w:rPr>
          <w:rFonts w:ascii="Times New Roman" w:hAnsi="Times New Roman" w:cs="Times New Roman"/>
          <w:b/>
          <w:bCs/>
          <w:sz w:val="24"/>
          <w:szCs w:val="24"/>
        </w:rPr>
      </w:pPr>
    </w:p>
    <w:p w14:paraId="2FC793C9" w14:textId="539B25EE" w:rsidR="00C53048" w:rsidRDefault="00C53048" w:rsidP="009B53C7">
      <w:pPr>
        <w:spacing w:after="0" w:line="480" w:lineRule="auto"/>
        <w:jc w:val="center"/>
        <w:rPr>
          <w:rFonts w:ascii="Times New Roman" w:hAnsi="Times New Roman" w:cs="Times New Roman"/>
          <w:b/>
          <w:bCs/>
          <w:sz w:val="24"/>
          <w:szCs w:val="24"/>
        </w:rPr>
      </w:pPr>
      <w:r w:rsidRPr="00C53048">
        <w:rPr>
          <w:rFonts w:ascii="Times New Roman" w:hAnsi="Times New Roman" w:cs="Times New Roman"/>
          <w:b/>
          <w:bCs/>
          <w:sz w:val="24"/>
          <w:szCs w:val="24"/>
        </w:rPr>
        <w:t>Pharmacotherapy for the Genitourinary Tract Disorders</w:t>
      </w:r>
    </w:p>
    <w:p w14:paraId="650BAB60" w14:textId="77777777" w:rsidR="000F69D6" w:rsidRDefault="000F69D6" w:rsidP="009B53C7">
      <w:pPr>
        <w:spacing w:after="0" w:line="480" w:lineRule="auto"/>
        <w:jc w:val="center"/>
        <w:rPr>
          <w:rFonts w:ascii="Times New Roman" w:hAnsi="Times New Roman" w:cs="Times New Roman"/>
          <w:b/>
          <w:bCs/>
          <w:sz w:val="24"/>
          <w:szCs w:val="24"/>
        </w:rPr>
      </w:pPr>
    </w:p>
    <w:p w14:paraId="08827FF7" w14:textId="77777777" w:rsidR="000F69D6" w:rsidRDefault="000F69D6" w:rsidP="009B53C7">
      <w:pPr>
        <w:spacing w:after="0" w:line="480" w:lineRule="auto"/>
        <w:jc w:val="center"/>
        <w:rPr>
          <w:rFonts w:ascii="Times New Roman" w:hAnsi="Times New Roman" w:cs="Times New Roman"/>
          <w:b/>
          <w:bCs/>
          <w:sz w:val="24"/>
          <w:szCs w:val="24"/>
        </w:rPr>
      </w:pPr>
    </w:p>
    <w:p w14:paraId="24B4F2DC" w14:textId="23222F73" w:rsidR="000F69D6" w:rsidRPr="000F69D6" w:rsidRDefault="000F69D6" w:rsidP="009B53C7">
      <w:pPr>
        <w:spacing w:after="0" w:line="480" w:lineRule="auto"/>
        <w:jc w:val="center"/>
        <w:rPr>
          <w:rFonts w:ascii="Times New Roman" w:hAnsi="Times New Roman" w:cs="Times New Roman"/>
          <w:sz w:val="24"/>
          <w:szCs w:val="24"/>
        </w:rPr>
      </w:pPr>
      <w:r w:rsidRPr="000F69D6">
        <w:rPr>
          <w:rFonts w:ascii="Times New Roman" w:hAnsi="Times New Roman" w:cs="Times New Roman"/>
          <w:sz w:val="24"/>
          <w:szCs w:val="24"/>
        </w:rPr>
        <w:t>Student’s Name</w:t>
      </w:r>
    </w:p>
    <w:p w14:paraId="4C72ACD5" w14:textId="7603D919" w:rsidR="000F69D6" w:rsidRPr="000F69D6" w:rsidRDefault="000F69D6" w:rsidP="009B53C7">
      <w:pPr>
        <w:spacing w:after="0" w:line="480" w:lineRule="auto"/>
        <w:jc w:val="center"/>
        <w:rPr>
          <w:rFonts w:ascii="Times New Roman" w:hAnsi="Times New Roman" w:cs="Times New Roman"/>
          <w:sz w:val="24"/>
          <w:szCs w:val="24"/>
        </w:rPr>
      </w:pPr>
      <w:r w:rsidRPr="000F69D6">
        <w:rPr>
          <w:rFonts w:ascii="Times New Roman" w:hAnsi="Times New Roman" w:cs="Times New Roman"/>
          <w:sz w:val="24"/>
          <w:szCs w:val="24"/>
        </w:rPr>
        <w:t>Institutional Affiliations</w:t>
      </w:r>
    </w:p>
    <w:p w14:paraId="53DB6507" w14:textId="153B5324" w:rsidR="000F69D6" w:rsidRPr="000F69D6" w:rsidRDefault="000F69D6" w:rsidP="009B53C7">
      <w:pPr>
        <w:spacing w:after="0" w:line="480" w:lineRule="auto"/>
        <w:jc w:val="center"/>
        <w:rPr>
          <w:rFonts w:ascii="Times New Roman" w:hAnsi="Times New Roman" w:cs="Times New Roman"/>
          <w:sz w:val="24"/>
          <w:szCs w:val="24"/>
        </w:rPr>
      </w:pPr>
      <w:r w:rsidRPr="000F69D6">
        <w:rPr>
          <w:rFonts w:ascii="Times New Roman" w:hAnsi="Times New Roman" w:cs="Times New Roman"/>
          <w:sz w:val="24"/>
          <w:szCs w:val="24"/>
        </w:rPr>
        <w:t>Course Number and Title</w:t>
      </w:r>
    </w:p>
    <w:p w14:paraId="040C08AD" w14:textId="1CD42F5C" w:rsidR="000F69D6" w:rsidRPr="000F69D6" w:rsidRDefault="000F69D6" w:rsidP="009B53C7">
      <w:pPr>
        <w:spacing w:after="0" w:line="480" w:lineRule="auto"/>
        <w:jc w:val="center"/>
        <w:rPr>
          <w:rFonts w:ascii="Times New Roman" w:hAnsi="Times New Roman" w:cs="Times New Roman"/>
          <w:sz w:val="24"/>
          <w:szCs w:val="24"/>
        </w:rPr>
      </w:pPr>
      <w:r w:rsidRPr="000F69D6">
        <w:rPr>
          <w:rFonts w:ascii="Times New Roman" w:hAnsi="Times New Roman" w:cs="Times New Roman"/>
          <w:sz w:val="24"/>
          <w:szCs w:val="24"/>
        </w:rPr>
        <w:t>Professor’s Name</w:t>
      </w:r>
    </w:p>
    <w:p w14:paraId="3F36FD0F" w14:textId="26B47A56" w:rsidR="000F69D6" w:rsidRDefault="000F69D6" w:rsidP="009B53C7">
      <w:pPr>
        <w:spacing w:after="0" w:line="480" w:lineRule="auto"/>
        <w:jc w:val="center"/>
        <w:rPr>
          <w:rFonts w:ascii="Times New Roman" w:hAnsi="Times New Roman" w:cs="Times New Roman"/>
          <w:sz w:val="24"/>
          <w:szCs w:val="24"/>
        </w:rPr>
      </w:pPr>
      <w:r w:rsidRPr="000F69D6">
        <w:rPr>
          <w:rFonts w:ascii="Times New Roman" w:hAnsi="Times New Roman" w:cs="Times New Roman"/>
          <w:sz w:val="24"/>
          <w:szCs w:val="24"/>
        </w:rPr>
        <w:t>Due Date</w:t>
      </w:r>
    </w:p>
    <w:p w14:paraId="715F2B5A" w14:textId="77777777" w:rsidR="00B47F8C" w:rsidRDefault="00B47F8C" w:rsidP="009B53C7">
      <w:pPr>
        <w:spacing w:after="0" w:line="480" w:lineRule="auto"/>
        <w:jc w:val="center"/>
        <w:rPr>
          <w:rFonts w:ascii="Times New Roman" w:hAnsi="Times New Roman" w:cs="Times New Roman"/>
          <w:sz w:val="24"/>
          <w:szCs w:val="24"/>
        </w:rPr>
      </w:pPr>
    </w:p>
    <w:p w14:paraId="3E211321" w14:textId="77777777" w:rsidR="00B47F8C" w:rsidRDefault="00B47F8C" w:rsidP="009B53C7">
      <w:pPr>
        <w:spacing w:after="0" w:line="480" w:lineRule="auto"/>
        <w:jc w:val="center"/>
        <w:rPr>
          <w:rFonts w:ascii="Times New Roman" w:hAnsi="Times New Roman" w:cs="Times New Roman"/>
          <w:sz w:val="24"/>
          <w:szCs w:val="24"/>
        </w:rPr>
      </w:pPr>
    </w:p>
    <w:p w14:paraId="740C48F6" w14:textId="77777777" w:rsidR="00B47F8C" w:rsidRDefault="00B47F8C" w:rsidP="009B53C7">
      <w:pPr>
        <w:spacing w:after="0" w:line="480" w:lineRule="auto"/>
        <w:jc w:val="center"/>
        <w:rPr>
          <w:rFonts w:ascii="Times New Roman" w:hAnsi="Times New Roman" w:cs="Times New Roman"/>
          <w:sz w:val="24"/>
          <w:szCs w:val="24"/>
        </w:rPr>
      </w:pPr>
    </w:p>
    <w:p w14:paraId="49114CD7" w14:textId="77777777" w:rsidR="00B47F8C" w:rsidRDefault="00B47F8C" w:rsidP="009B53C7">
      <w:pPr>
        <w:spacing w:after="0" w:line="480" w:lineRule="auto"/>
        <w:jc w:val="center"/>
        <w:rPr>
          <w:rFonts w:ascii="Times New Roman" w:hAnsi="Times New Roman" w:cs="Times New Roman"/>
          <w:sz w:val="24"/>
          <w:szCs w:val="24"/>
        </w:rPr>
      </w:pPr>
    </w:p>
    <w:p w14:paraId="00FDE327" w14:textId="77777777" w:rsidR="00B47F8C" w:rsidRDefault="00B47F8C" w:rsidP="009B53C7">
      <w:pPr>
        <w:spacing w:after="0" w:line="480" w:lineRule="auto"/>
        <w:jc w:val="center"/>
        <w:rPr>
          <w:rFonts w:ascii="Times New Roman" w:hAnsi="Times New Roman" w:cs="Times New Roman"/>
          <w:sz w:val="24"/>
          <w:szCs w:val="24"/>
        </w:rPr>
      </w:pPr>
    </w:p>
    <w:p w14:paraId="46D6E117" w14:textId="77777777" w:rsidR="00B47F8C" w:rsidRDefault="00B47F8C" w:rsidP="009B53C7">
      <w:pPr>
        <w:spacing w:after="0" w:line="480" w:lineRule="auto"/>
        <w:jc w:val="center"/>
        <w:rPr>
          <w:rFonts w:ascii="Times New Roman" w:hAnsi="Times New Roman" w:cs="Times New Roman"/>
          <w:sz w:val="24"/>
          <w:szCs w:val="24"/>
        </w:rPr>
      </w:pPr>
    </w:p>
    <w:p w14:paraId="7A656407" w14:textId="77777777" w:rsidR="00B47F8C" w:rsidRDefault="00B47F8C" w:rsidP="009B53C7">
      <w:pPr>
        <w:spacing w:after="0" w:line="480" w:lineRule="auto"/>
        <w:jc w:val="center"/>
        <w:rPr>
          <w:rFonts w:ascii="Times New Roman" w:hAnsi="Times New Roman" w:cs="Times New Roman"/>
          <w:sz w:val="24"/>
          <w:szCs w:val="24"/>
        </w:rPr>
      </w:pPr>
    </w:p>
    <w:p w14:paraId="148F9BBE" w14:textId="77777777" w:rsidR="00B47F8C" w:rsidRDefault="00B47F8C" w:rsidP="009B53C7">
      <w:pPr>
        <w:spacing w:after="0" w:line="480" w:lineRule="auto"/>
        <w:jc w:val="center"/>
        <w:rPr>
          <w:rFonts w:ascii="Times New Roman" w:hAnsi="Times New Roman" w:cs="Times New Roman"/>
          <w:sz w:val="24"/>
          <w:szCs w:val="24"/>
        </w:rPr>
      </w:pPr>
    </w:p>
    <w:p w14:paraId="64AD1098" w14:textId="77777777" w:rsidR="00B47F8C" w:rsidRDefault="00B47F8C" w:rsidP="009B53C7">
      <w:pPr>
        <w:spacing w:after="0" w:line="480" w:lineRule="auto"/>
        <w:jc w:val="center"/>
        <w:rPr>
          <w:rFonts w:ascii="Times New Roman" w:hAnsi="Times New Roman" w:cs="Times New Roman"/>
          <w:sz w:val="24"/>
          <w:szCs w:val="24"/>
        </w:rPr>
      </w:pPr>
    </w:p>
    <w:p w14:paraId="029232E0" w14:textId="77777777" w:rsidR="00B47F8C" w:rsidRDefault="00B47F8C" w:rsidP="009B53C7">
      <w:pPr>
        <w:spacing w:after="0" w:line="480" w:lineRule="auto"/>
        <w:jc w:val="center"/>
        <w:rPr>
          <w:rFonts w:ascii="Times New Roman" w:hAnsi="Times New Roman" w:cs="Times New Roman"/>
          <w:sz w:val="24"/>
          <w:szCs w:val="24"/>
        </w:rPr>
      </w:pPr>
    </w:p>
    <w:p w14:paraId="18B96A8A" w14:textId="77777777" w:rsidR="00B47F8C" w:rsidRPr="000F69D6" w:rsidRDefault="00B47F8C" w:rsidP="009B53C7">
      <w:pPr>
        <w:spacing w:after="0" w:line="480" w:lineRule="auto"/>
        <w:jc w:val="center"/>
        <w:rPr>
          <w:rFonts w:ascii="Times New Roman" w:hAnsi="Times New Roman" w:cs="Times New Roman"/>
          <w:sz w:val="24"/>
          <w:szCs w:val="24"/>
        </w:rPr>
      </w:pPr>
    </w:p>
    <w:p w14:paraId="20CCDEE4" w14:textId="7AA152A7" w:rsidR="00C8524C" w:rsidRPr="009B53C7" w:rsidRDefault="00C8524C" w:rsidP="00797C7E">
      <w:pPr>
        <w:spacing w:after="0" w:line="480" w:lineRule="auto"/>
        <w:jc w:val="center"/>
        <w:rPr>
          <w:rFonts w:ascii="Times New Roman" w:hAnsi="Times New Roman" w:cs="Times New Roman"/>
          <w:b/>
          <w:bCs/>
          <w:sz w:val="24"/>
          <w:szCs w:val="24"/>
        </w:rPr>
      </w:pPr>
      <w:r w:rsidRPr="009B53C7">
        <w:rPr>
          <w:rFonts w:ascii="Times New Roman" w:hAnsi="Times New Roman" w:cs="Times New Roman"/>
          <w:b/>
          <w:bCs/>
          <w:sz w:val="24"/>
          <w:szCs w:val="24"/>
        </w:rPr>
        <w:lastRenderedPageBreak/>
        <w:t>Four antidiabetic drug classes</w:t>
      </w:r>
    </w:p>
    <w:p w14:paraId="596F48C1" w14:textId="7C380233" w:rsidR="00F323E3" w:rsidRPr="00C53048" w:rsidRDefault="000037AD" w:rsidP="009B53C7">
      <w:pPr>
        <w:spacing w:after="0" w:line="480" w:lineRule="auto"/>
        <w:ind w:firstLine="720"/>
        <w:rPr>
          <w:rFonts w:ascii="Times New Roman" w:hAnsi="Times New Roman" w:cs="Times New Roman"/>
          <w:sz w:val="24"/>
          <w:szCs w:val="24"/>
        </w:rPr>
      </w:pPr>
      <w:r w:rsidRPr="000037AD">
        <w:rPr>
          <w:rFonts w:ascii="Times New Roman" w:hAnsi="Times New Roman" w:cs="Times New Roman"/>
          <w:sz w:val="24"/>
          <w:szCs w:val="24"/>
        </w:rPr>
        <w:t>The four types of antidiabetic drugs are biguanides, sulfonylureas, DPP-4 inhibitors (gliptins) and SGLT2 inhibitors (Ganesan et al., 2023; Babiker &amp; Al Dubayee, 2017).</w:t>
      </w:r>
    </w:p>
    <w:p w14:paraId="32D88002" w14:textId="45EB0A1B" w:rsidR="009B53C7" w:rsidRPr="002E00C5" w:rsidRDefault="009B53C7" w:rsidP="002E00C5">
      <w:pPr>
        <w:pStyle w:val="ListParagraph"/>
        <w:numPr>
          <w:ilvl w:val="0"/>
          <w:numId w:val="9"/>
        </w:numPr>
        <w:spacing w:after="0" w:line="480" w:lineRule="auto"/>
        <w:rPr>
          <w:rFonts w:ascii="Times New Roman" w:hAnsi="Times New Roman" w:cs="Times New Roman"/>
          <w:b/>
          <w:bCs/>
          <w:sz w:val="24"/>
          <w:szCs w:val="24"/>
        </w:rPr>
      </w:pPr>
      <w:r w:rsidRPr="002E00C5">
        <w:rPr>
          <w:rFonts w:ascii="Times New Roman" w:hAnsi="Times New Roman" w:cs="Times New Roman"/>
          <w:b/>
          <w:bCs/>
          <w:sz w:val="24"/>
          <w:szCs w:val="24"/>
        </w:rPr>
        <w:t>Biguanides</w:t>
      </w:r>
    </w:p>
    <w:p w14:paraId="51AE2505" w14:textId="3F6F32E1" w:rsidR="00A61D43" w:rsidRDefault="007E5DFB" w:rsidP="00A61D43">
      <w:pPr>
        <w:spacing w:after="0" w:line="480" w:lineRule="auto"/>
        <w:ind w:firstLine="720"/>
        <w:rPr>
          <w:rFonts w:ascii="Times New Roman" w:hAnsi="Times New Roman" w:cs="Times New Roman"/>
          <w:sz w:val="24"/>
          <w:szCs w:val="24"/>
        </w:rPr>
      </w:pPr>
      <w:r w:rsidRPr="007E5DFB">
        <w:rPr>
          <w:rFonts w:ascii="Times New Roman" w:hAnsi="Times New Roman" w:cs="Times New Roman"/>
          <w:sz w:val="24"/>
          <w:szCs w:val="24"/>
        </w:rPr>
        <w:t xml:space="preserve">Biguanides are first-line oral agents that primarily decrease hepatic glucose production. </w:t>
      </w:r>
      <w:r w:rsidR="00FE5B97" w:rsidRPr="00FE5B97">
        <w:rPr>
          <w:rFonts w:ascii="Times New Roman" w:hAnsi="Times New Roman" w:cs="Times New Roman"/>
          <w:sz w:val="24"/>
          <w:szCs w:val="24"/>
        </w:rPr>
        <w:t>A common example is metformin, 500 - 1000 mg by mouth</w:t>
      </w:r>
      <w:r w:rsidR="00FE5B97">
        <w:rPr>
          <w:rFonts w:ascii="Times New Roman" w:hAnsi="Times New Roman" w:cs="Times New Roman"/>
          <w:sz w:val="24"/>
          <w:szCs w:val="24"/>
        </w:rPr>
        <w:t xml:space="preserve">, </w:t>
      </w:r>
      <w:r w:rsidR="00FE5B97" w:rsidRPr="00FE5B97">
        <w:rPr>
          <w:rFonts w:ascii="Times New Roman" w:hAnsi="Times New Roman" w:cs="Times New Roman"/>
          <w:sz w:val="24"/>
          <w:szCs w:val="24"/>
        </w:rPr>
        <w:t xml:space="preserve">twice daily </w:t>
      </w:r>
      <w:r w:rsidRPr="007E5DFB">
        <w:rPr>
          <w:rFonts w:ascii="Times New Roman" w:hAnsi="Times New Roman" w:cs="Times New Roman"/>
          <w:sz w:val="24"/>
          <w:szCs w:val="24"/>
        </w:rPr>
        <w:t>(Ganesan et al., 2023)</w:t>
      </w:r>
      <w:r w:rsidR="009B53C7" w:rsidRPr="009B53C7">
        <w:rPr>
          <w:rFonts w:ascii="Times New Roman" w:hAnsi="Times New Roman" w:cs="Times New Roman"/>
          <w:sz w:val="24"/>
          <w:szCs w:val="24"/>
        </w:rPr>
        <w:t>.</w:t>
      </w:r>
    </w:p>
    <w:p w14:paraId="52E3A107" w14:textId="0EADE559" w:rsidR="00686731" w:rsidRDefault="009B53C7" w:rsidP="00031360">
      <w:pPr>
        <w:pStyle w:val="ListParagraph"/>
        <w:numPr>
          <w:ilvl w:val="0"/>
          <w:numId w:val="5"/>
        </w:numPr>
        <w:spacing w:after="0" w:line="480" w:lineRule="auto"/>
        <w:rPr>
          <w:rFonts w:ascii="Times New Roman" w:hAnsi="Times New Roman" w:cs="Times New Roman"/>
          <w:sz w:val="24"/>
          <w:szCs w:val="24"/>
        </w:rPr>
      </w:pPr>
      <w:r w:rsidRPr="00686731">
        <w:rPr>
          <w:rFonts w:ascii="Times New Roman" w:hAnsi="Times New Roman" w:cs="Times New Roman"/>
          <w:i/>
          <w:iCs/>
          <w:sz w:val="24"/>
          <w:szCs w:val="24"/>
        </w:rPr>
        <w:t>Mechanism of action (PD)</w:t>
      </w:r>
      <w:r w:rsidRPr="00686731">
        <w:rPr>
          <w:rFonts w:ascii="Times New Roman" w:hAnsi="Times New Roman" w:cs="Times New Roman"/>
          <w:sz w:val="24"/>
          <w:szCs w:val="24"/>
        </w:rPr>
        <w:t xml:space="preserve">: </w:t>
      </w:r>
      <w:r w:rsidR="00D207FE" w:rsidRPr="00D207FE">
        <w:rPr>
          <w:rFonts w:ascii="Times New Roman" w:hAnsi="Times New Roman" w:cs="Times New Roman"/>
          <w:sz w:val="24"/>
          <w:szCs w:val="24"/>
        </w:rPr>
        <w:t>Metformin increases hepatic AMP-activated protein kinase (AMPK) activity</w:t>
      </w:r>
      <w:r w:rsidR="00D207FE">
        <w:rPr>
          <w:rFonts w:ascii="Times New Roman" w:hAnsi="Times New Roman" w:cs="Times New Roman"/>
          <w:sz w:val="24"/>
          <w:szCs w:val="24"/>
        </w:rPr>
        <w:t>,</w:t>
      </w:r>
      <w:r w:rsidR="00D207FE" w:rsidRPr="00D207FE">
        <w:rPr>
          <w:rFonts w:ascii="Times New Roman" w:hAnsi="Times New Roman" w:cs="Times New Roman"/>
          <w:sz w:val="24"/>
          <w:szCs w:val="24"/>
        </w:rPr>
        <w:t xml:space="preserve"> which reduce hepatic gluconeogenesis and lipogenesis and improves insulin-mediated glucose uptake in skeletal muscle</w:t>
      </w:r>
      <w:r w:rsidR="00D207FE" w:rsidRPr="00D207FE">
        <w:rPr>
          <w:rFonts w:ascii="Times New Roman" w:hAnsi="Times New Roman" w:cs="Times New Roman"/>
          <w:sz w:val="24"/>
          <w:szCs w:val="24"/>
        </w:rPr>
        <w:t xml:space="preserve"> </w:t>
      </w:r>
      <w:r w:rsidRPr="00686731">
        <w:rPr>
          <w:rFonts w:ascii="Times New Roman" w:hAnsi="Times New Roman" w:cs="Times New Roman"/>
          <w:sz w:val="24"/>
          <w:szCs w:val="24"/>
        </w:rPr>
        <w:t>(Babiker &amp; Al Dubayee, 2017).</w:t>
      </w:r>
    </w:p>
    <w:p w14:paraId="7CAB2624" w14:textId="68943FD1" w:rsidR="00686731" w:rsidRPr="00686731" w:rsidRDefault="009B53C7" w:rsidP="00031360">
      <w:pPr>
        <w:pStyle w:val="ListParagraph"/>
        <w:numPr>
          <w:ilvl w:val="0"/>
          <w:numId w:val="5"/>
        </w:numPr>
        <w:spacing w:after="0" w:line="480" w:lineRule="auto"/>
        <w:rPr>
          <w:rFonts w:ascii="Times New Roman" w:hAnsi="Times New Roman" w:cs="Times New Roman"/>
          <w:sz w:val="24"/>
          <w:szCs w:val="24"/>
        </w:rPr>
      </w:pPr>
      <w:r w:rsidRPr="00686731">
        <w:rPr>
          <w:rFonts w:ascii="Times New Roman" w:hAnsi="Times New Roman" w:cs="Times New Roman"/>
          <w:i/>
          <w:iCs/>
          <w:sz w:val="24"/>
          <w:szCs w:val="24"/>
        </w:rPr>
        <w:t>Clinical effects (PD)</w:t>
      </w:r>
      <w:r w:rsidRPr="00686731">
        <w:rPr>
          <w:rFonts w:ascii="Times New Roman" w:hAnsi="Times New Roman" w:cs="Times New Roman"/>
          <w:sz w:val="24"/>
          <w:szCs w:val="24"/>
        </w:rPr>
        <w:t xml:space="preserve">: </w:t>
      </w:r>
      <w:r w:rsidR="00C54B2C">
        <w:rPr>
          <w:rFonts w:ascii="Times New Roman" w:hAnsi="Times New Roman" w:cs="Times New Roman"/>
          <w:sz w:val="24"/>
          <w:szCs w:val="24"/>
        </w:rPr>
        <w:t>It d</w:t>
      </w:r>
      <w:r w:rsidR="00A04C85" w:rsidRPr="00A04C85">
        <w:rPr>
          <w:rFonts w:ascii="Times New Roman" w:hAnsi="Times New Roman" w:cs="Times New Roman"/>
          <w:sz w:val="24"/>
          <w:szCs w:val="24"/>
        </w:rPr>
        <w:t xml:space="preserve">oes not cause weight gain and </w:t>
      </w:r>
      <w:r w:rsidR="00A04C85">
        <w:rPr>
          <w:rFonts w:ascii="Times New Roman" w:hAnsi="Times New Roman" w:cs="Times New Roman"/>
          <w:sz w:val="24"/>
          <w:szCs w:val="24"/>
        </w:rPr>
        <w:t xml:space="preserve">has </w:t>
      </w:r>
      <w:r w:rsidR="00A04C85" w:rsidRPr="00A04C85">
        <w:rPr>
          <w:rFonts w:ascii="Times New Roman" w:hAnsi="Times New Roman" w:cs="Times New Roman"/>
          <w:sz w:val="24"/>
          <w:szCs w:val="24"/>
        </w:rPr>
        <w:t>low hypoglycemia risk when used alone</w:t>
      </w:r>
      <w:r w:rsidR="008D58BE" w:rsidRPr="008D58BE">
        <w:rPr>
          <w:rFonts w:ascii="Times New Roman" w:hAnsi="Times New Roman" w:cs="Times New Roman"/>
          <w:sz w:val="24"/>
          <w:szCs w:val="24"/>
        </w:rPr>
        <w:t xml:space="preserve"> </w:t>
      </w:r>
      <w:r w:rsidRPr="00686731">
        <w:rPr>
          <w:rFonts w:ascii="Times New Roman" w:hAnsi="Times New Roman" w:cs="Times New Roman"/>
          <w:sz w:val="24"/>
          <w:szCs w:val="24"/>
        </w:rPr>
        <w:t xml:space="preserve">(Cleveland Clinic, </w:t>
      </w:r>
      <w:r w:rsidR="00846176">
        <w:rPr>
          <w:rFonts w:ascii="Times New Roman" w:hAnsi="Times New Roman" w:cs="Times New Roman"/>
          <w:sz w:val="24"/>
          <w:szCs w:val="24"/>
        </w:rPr>
        <w:t>2022</w:t>
      </w:r>
      <w:r w:rsidRPr="00686731">
        <w:rPr>
          <w:rFonts w:ascii="Times New Roman" w:hAnsi="Times New Roman" w:cs="Times New Roman"/>
          <w:sz w:val="24"/>
          <w:szCs w:val="24"/>
        </w:rPr>
        <w:t>).</w:t>
      </w:r>
    </w:p>
    <w:p w14:paraId="0D367D89" w14:textId="5C9087D7" w:rsidR="00686731" w:rsidRPr="00686731" w:rsidRDefault="009B53C7" w:rsidP="000E79EC">
      <w:pPr>
        <w:pStyle w:val="ListParagraph"/>
        <w:numPr>
          <w:ilvl w:val="0"/>
          <w:numId w:val="5"/>
        </w:numPr>
        <w:spacing w:after="0" w:line="480" w:lineRule="auto"/>
        <w:rPr>
          <w:rFonts w:ascii="Times New Roman" w:hAnsi="Times New Roman" w:cs="Times New Roman"/>
          <w:sz w:val="24"/>
          <w:szCs w:val="24"/>
        </w:rPr>
      </w:pPr>
      <w:r w:rsidRPr="00686731">
        <w:rPr>
          <w:rFonts w:ascii="Times New Roman" w:hAnsi="Times New Roman" w:cs="Times New Roman"/>
          <w:i/>
          <w:iCs/>
          <w:sz w:val="24"/>
          <w:szCs w:val="24"/>
        </w:rPr>
        <w:t>Absorption (PK)</w:t>
      </w:r>
      <w:r w:rsidRPr="00686731">
        <w:rPr>
          <w:rFonts w:ascii="Times New Roman" w:hAnsi="Times New Roman" w:cs="Times New Roman"/>
          <w:sz w:val="24"/>
          <w:szCs w:val="24"/>
        </w:rPr>
        <w:t xml:space="preserve">: </w:t>
      </w:r>
      <w:r w:rsidR="007815CC" w:rsidRPr="007815CC">
        <w:rPr>
          <w:rFonts w:ascii="Times New Roman" w:hAnsi="Times New Roman" w:cs="Times New Roman"/>
          <w:sz w:val="24"/>
          <w:szCs w:val="24"/>
        </w:rPr>
        <w:t>Oral absorption. Absorption is incomplete</w:t>
      </w:r>
      <w:r w:rsidR="00750A86">
        <w:rPr>
          <w:rFonts w:ascii="Times New Roman" w:hAnsi="Times New Roman" w:cs="Times New Roman"/>
          <w:sz w:val="24"/>
          <w:szCs w:val="24"/>
        </w:rPr>
        <w:t>,</w:t>
      </w:r>
      <w:r w:rsidR="007815CC" w:rsidRPr="007815CC">
        <w:rPr>
          <w:rFonts w:ascii="Times New Roman" w:hAnsi="Times New Roman" w:cs="Times New Roman"/>
          <w:sz w:val="24"/>
          <w:szCs w:val="24"/>
        </w:rPr>
        <w:t xml:space="preserve"> and saturable absorption takes place in the small intestine </w:t>
      </w:r>
      <w:r w:rsidRPr="00686731">
        <w:rPr>
          <w:rFonts w:ascii="Times New Roman" w:hAnsi="Times New Roman" w:cs="Times New Roman"/>
          <w:sz w:val="24"/>
          <w:szCs w:val="24"/>
        </w:rPr>
        <w:t>(U.S. Food and Drug Administration [FDA], 2017).</w:t>
      </w:r>
    </w:p>
    <w:p w14:paraId="09E81EBB" w14:textId="396F68BB" w:rsidR="009B53C7" w:rsidRPr="009B53C7" w:rsidRDefault="009B53C7" w:rsidP="003F70B3">
      <w:pPr>
        <w:pStyle w:val="ListParagraph"/>
        <w:numPr>
          <w:ilvl w:val="0"/>
          <w:numId w:val="5"/>
        </w:numPr>
        <w:spacing w:after="0" w:line="480" w:lineRule="auto"/>
        <w:rPr>
          <w:rFonts w:ascii="Times New Roman" w:hAnsi="Times New Roman" w:cs="Times New Roman"/>
          <w:sz w:val="24"/>
          <w:szCs w:val="24"/>
        </w:rPr>
      </w:pPr>
      <w:r w:rsidRPr="009B53C7">
        <w:rPr>
          <w:rFonts w:ascii="Times New Roman" w:hAnsi="Times New Roman" w:cs="Times New Roman"/>
          <w:i/>
          <w:iCs/>
          <w:sz w:val="24"/>
          <w:szCs w:val="24"/>
        </w:rPr>
        <w:t>Distribution (PK)</w:t>
      </w:r>
      <w:r w:rsidRPr="009B53C7">
        <w:rPr>
          <w:rFonts w:ascii="Times New Roman" w:hAnsi="Times New Roman" w:cs="Times New Roman"/>
          <w:sz w:val="24"/>
          <w:szCs w:val="24"/>
        </w:rPr>
        <w:t xml:space="preserve">: </w:t>
      </w:r>
      <w:r w:rsidR="00677145" w:rsidRPr="00677145">
        <w:rPr>
          <w:rFonts w:ascii="Times New Roman" w:hAnsi="Times New Roman" w:cs="Times New Roman"/>
          <w:sz w:val="24"/>
          <w:szCs w:val="24"/>
        </w:rPr>
        <w:t>It has low protein binding and distributes widely into tissues, with transporter-mediated uptake contributing to tissue exposure</w:t>
      </w:r>
      <w:r w:rsidR="00677145" w:rsidRPr="00677145">
        <w:rPr>
          <w:rFonts w:ascii="Times New Roman" w:hAnsi="Times New Roman" w:cs="Times New Roman"/>
          <w:sz w:val="24"/>
          <w:szCs w:val="24"/>
        </w:rPr>
        <w:t xml:space="preserve"> </w:t>
      </w:r>
      <w:r w:rsidRPr="009B53C7">
        <w:rPr>
          <w:rFonts w:ascii="Times New Roman" w:hAnsi="Times New Roman" w:cs="Times New Roman"/>
          <w:sz w:val="24"/>
          <w:szCs w:val="24"/>
        </w:rPr>
        <w:t>(FDA, 2017).</w:t>
      </w:r>
    </w:p>
    <w:p w14:paraId="28EF91ED" w14:textId="65006B5F" w:rsidR="009B53C7" w:rsidRPr="009B53C7" w:rsidRDefault="009B53C7" w:rsidP="009B53C7">
      <w:pPr>
        <w:numPr>
          <w:ilvl w:val="0"/>
          <w:numId w:val="5"/>
        </w:numPr>
        <w:spacing w:after="0" w:line="480" w:lineRule="auto"/>
        <w:rPr>
          <w:rFonts w:ascii="Times New Roman" w:hAnsi="Times New Roman" w:cs="Times New Roman"/>
          <w:sz w:val="24"/>
          <w:szCs w:val="24"/>
        </w:rPr>
      </w:pPr>
      <w:r w:rsidRPr="009B53C7">
        <w:rPr>
          <w:rFonts w:ascii="Times New Roman" w:hAnsi="Times New Roman" w:cs="Times New Roman"/>
          <w:sz w:val="24"/>
          <w:szCs w:val="24"/>
        </w:rPr>
        <w:t xml:space="preserve">Metabolism (PK): </w:t>
      </w:r>
      <w:r w:rsidR="009429A3" w:rsidRPr="009429A3">
        <w:rPr>
          <w:rFonts w:ascii="Times New Roman" w:hAnsi="Times New Roman" w:cs="Times New Roman"/>
          <w:sz w:val="24"/>
          <w:szCs w:val="24"/>
        </w:rPr>
        <w:t>Metformin is not metabolized, so metabolism mediated by CYP450 is not a major determinant of its clearance</w:t>
      </w:r>
      <w:r w:rsidR="009429A3" w:rsidRPr="009429A3">
        <w:rPr>
          <w:rFonts w:ascii="Times New Roman" w:hAnsi="Times New Roman" w:cs="Times New Roman"/>
          <w:sz w:val="24"/>
          <w:szCs w:val="24"/>
        </w:rPr>
        <w:t xml:space="preserve"> </w:t>
      </w:r>
      <w:r w:rsidRPr="009B53C7">
        <w:rPr>
          <w:rFonts w:ascii="Times New Roman" w:hAnsi="Times New Roman" w:cs="Times New Roman"/>
          <w:sz w:val="24"/>
          <w:szCs w:val="24"/>
        </w:rPr>
        <w:t>(FDA, 2017).</w:t>
      </w:r>
    </w:p>
    <w:p w14:paraId="09BDE819" w14:textId="2FB9C127" w:rsidR="009B53C7" w:rsidRPr="009B53C7" w:rsidRDefault="009B53C7" w:rsidP="009B53C7">
      <w:pPr>
        <w:numPr>
          <w:ilvl w:val="0"/>
          <w:numId w:val="5"/>
        </w:numPr>
        <w:spacing w:after="0" w:line="480" w:lineRule="auto"/>
        <w:rPr>
          <w:rFonts w:ascii="Times New Roman" w:hAnsi="Times New Roman" w:cs="Times New Roman"/>
          <w:sz w:val="24"/>
          <w:szCs w:val="24"/>
        </w:rPr>
      </w:pPr>
      <w:r w:rsidRPr="009B53C7">
        <w:rPr>
          <w:rFonts w:ascii="Times New Roman" w:hAnsi="Times New Roman" w:cs="Times New Roman"/>
          <w:i/>
          <w:iCs/>
          <w:sz w:val="24"/>
          <w:szCs w:val="24"/>
        </w:rPr>
        <w:t>Excretion (PK)</w:t>
      </w:r>
      <w:r w:rsidRPr="009B53C7">
        <w:rPr>
          <w:rFonts w:ascii="Times New Roman" w:hAnsi="Times New Roman" w:cs="Times New Roman"/>
          <w:sz w:val="24"/>
          <w:szCs w:val="24"/>
        </w:rPr>
        <w:t xml:space="preserve">: </w:t>
      </w:r>
      <w:r w:rsidR="00B259EC" w:rsidRPr="00B259EC">
        <w:rPr>
          <w:rFonts w:ascii="Times New Roman" w:hAnsi="Times New Roman" w:cs="Times New Roman"/>
          <w:sz w:val="24"/>
          <w:szCs w:val="24"/>
        </w:rPr>
        <w:t>It is eliminated unchanged in the urine through renal filtration and tubular secretion</w:t>
      </w:r>
      <w:r w:rsidR="00E2779E">
        <w:rPr>
          <w:rFonts w:ascii="Times New Roman" w:hAnsi="Times New Roman" w:cs="Times New Roman"/>
          <w:sz w:val="24"/>
          <w:szCs w:val="24"/>
        </w:rPr>
        <w:t xml:space="preserve">. </w:t>
      </w:r>
      <w:r w:rsidR="008E69F8" w:rsidRPr="008E69F8">
        <w:rPr>
          <w:rFonts w:ascii="Times New Roman" w:hAnsi="Times New Roman" w:cs="Times New Roman"/>
          <w:sz w:val="24"/>
          <w:szCs w:val="24"/>
        </w:rPr>
        <w:t>Impaired renal function leads to increased drug exposure</w:t>
      </w:r>
      <w:r w:rsidR="008E69F8" w:rsidRPr="008E69F8">
        <w:rPr>
          <w:rFonts w:ascii="Times New Roman" w:hAnsi="Times New Roman" w:cs="Times New Roman"/>
          <w:sz w:val="24"/>
          <w:szCs w:val="24"/>
        </w:rPr>
        <w:t xml:space="preserve"> </w:t>
      </w:r>
      <w:r w:rsidRPr="009B53C7">
        <w:rPr>
          <w:rFonts w:ascii="Times New Roman" w:hAnsi="Times New Roman" w:cs="Times New Roman"/>
          <w:sz w:val="24"/>
          <w:szCs w:val="24"/>
        </w:rPr>
        <w:t>(FDA, 2017).</w:t>
      </w:r>
    </w:p>
    <w:p w14:paraId="74CC5DC9" w14:textId="5FFA05A2" w:rsidR="009B53C7" w:rsidRPr="002E00C5" w:rsidRDefault="009B53C7" w:rsidP="0011270D">
      <w:pPr>
        <w:numPr>
          <w:ilvl w:val="0"/>
          <w:numId w:val="5"/>
        </w:numPr>
        <w:spacing w:after="0" w:line="480" w:lineRule="auto"/>
        <w:rPr>
          <w:rFonts w:ascii="Times New Roman" w:hAnsi="Times New Roman" w:cs="Times New Roman"/>
          <w:sz w:val="24"/>
          <w:szCs w:val="24"/>
        </w:rPr>
      </w:pPr>
      <w:r w:rsidRPr="009B53C7">
        <w:rPr>
          <w:rFonts w:ascii="Times New Roman" w:hAnsi="Times New Roman" w:cs="Times New Roman"/>
          <w:i/>
          <w:iCs/>
          <w:sz w:val="24"/>
          <w:szCs w:val="24"/>
        </w:rPr>
        <w:t>Contraindications (safety)</w:t>
      </w:r>
      <w:r w:rsidRPr="009B53C7">
        <w:rPr>
          <w:rFonts w:ascii="Times New Roman" w:hAnsi="Times New Roman" w:cs="Times New Roman"/>
          <w:sz w:val="24"/>
          <w:szCs w:val="24"/>
        </w:rPr>
        <w:t xml:space="preserve">: </w:t>
      </w:r>
      <w:r w:rsidR="00926450" w:rsidRPr="002E00C5">
        <w:rPr>
          <w:rFonts w:ascii="Times New Roman" w:hAnsi="Times New Roman" w:cs="Times New Roman"/>
          <w:sz w:val="24"/>
          <w:szCs w:val="24"/>
        </w:rPr>
        <w:t>Do not use in estimated glomerular filtration rate less than 30 mL/min/1.73 m² or metabolic acidosis (including diabetic ketoacidosis)</w:t>
      </w:r>
      <w:r w:rsidR="00E80E42" w:rsidRPr="002E00C5">
        <w:rPr>
          <w:rFonts w:ascii="Times New Roman" w:hAnsi="Times New Roman" w:cs="Times New Roman"/>
          <w:sz w:val="24"/>
          <w:szCs w:val="24"/>
        </w:rPr>
        <w:t>. L</w:t>
      </w:r>
      <w:r w:rsidR="00926450" w:rsidRPr="002E00C5">
        <w:rPr>
          <w:rFonts w:ascii="Times New Roman" w:hAnsi="Times New Roman" w:cs="Times New Roman"/>
          <w:sz w:val="24"/>
          <w:szCs w:val="24"/>
        </w:rPr>
        <w:t xml:space="preserve">actic acidosis risk increases </w:t>
      </w:r>
      <w:r w:rsidR="0095557F" w:rsidRPr="002E00C5">
        <w:rPr>
          <w:rFonts w:ascii="Times New Roman" w:hAnsi="Times New Roman" w:cs="Times New Roman"/>
          <w:sz w:val="24"/>
          <w:szCs w:val="24"/>
        </w:rPr>
        <w:t xml:space="preserve">in conditions like </w:t>
      </w:r>
      <w:r w:rsidR="00926450" w:rsidRPr="002E00C5">
        <w:rPr>
          <w:rFonts w:ascii="Times New Roman" w:hAnsi="Times New Roman" w:cs="Times New Roman"/>
          <w:sz w:val="24"/>
          <w:szCs w:val="24"/>
        </w:rPr>
        <w:t xml:space="preserve">hypoxia, dehydration, or advanced kidney disease </w:t>
      </w:r>
      <w:r w:rsidRPr="009B53C7">
        <w:rPr>
          <w:rFonts w:ascii="Times New Roman" w:hAnsi="Times New Roman" w:cs="Times New Roman"/>
          <w:sz w:val="24"/>
          <w:szCs w:val="24"/>
        </w:rPr>
        <w:t>(Babiker &amp; Al Dubayee, 2017).</w:t>
      </w:r>
    </w:p>
    <w:p w14:paraId="0ACFBAEB" w14:textId="63DA9B9A" w:rsidR="00C53048" w:rsidRPr="002E00C5" w:rsidRDefault="00C53048" w:rsidP="002E00C5">
      <w:pPr>
        <w:pStyle w:val="ListParagraph"/>
        <w:numPr>
          <w:ilvl w:val="0"/>
          <w:numId w:val="9"/>
        </w:numPr>
        <w:spacing w:after="0" w:line="480" w:lineRule="auto"/>
        <w:rPr>
          <w:rFonts w:ascii="Times New Roman" w:hAnsi="Times New Roman" w:cs="Times New Roman"/>
          <w:b/>
          <w:bCs/>
          <w:sz w:val="24"/>
          <w:szCs w:val="24"/>
        </w:rPr>
      </w:pPr>
      <w:r w:rsidRPr="002E00C5">
        <w:rPr>
          <w:rFonts w:ascii="Times New Roman" w:hAnsi="Times New Roman" w:cs="Times New Roman"/>
          <w:b/>
          <w:bCs/>
          <w:sz w:val="24"/>
          <w:szCs w:val="24"/>
        </w:rPr>
        <w:lastRenderedPageBreak/>
        <w:t>Sulfonylureas</w:t>
      </w:r>
    </w:p>
    <w:p w14:paraId="659E5A6E" w14:textId="21A94704" w:rsidR="00921682" w:rsidRPr="00921682" w:rsidRDefault="001E58AE" w:rsidP="00921682">
      <w:pPr>
        <w:spacing w:after="0" w:line="480" w:lineRule="auto"/>
        <w:ind w:firstLine="720"/>
        <w:rPr>
          <w:rFonts w:ascii="Times New Roman" w:hAnsi="Times New Roman" w:cs="Times New Roman"/>
          <w:sz w:val="24"/>
          <w:szCs w:val="24"/>
        </w:rPr>
      </w:pPr>
      <w:r w:rsidRPr="001E58AE">
        <w:rPr>
          <w:rFonts w:ascii="Times New Roman" w:hAnsi="Times New Roman" w:cs="Times New Roman"/>
          <w:sz w:val="24"/>
          <w:szCs w:val="24"/>
        </w:rPr>
        <w:t xml:space="preserve">Sulfonylureas work by lowering blood sugar by causing the pancreas to release more insulin. Example: glipizide, 2.5 -10 mg by mouth, once daily or in 2 divided doses, 30 minutes before breakfast </w:t>
      </w:r>
      <w:r w:rsidR="00921682" w:rsidRPr="00921682">
        <w:rPr>
          <w:rFonts w:ascii="Times New Roman" w:hAnsi="Times New Roman" w:cs="Times New Roman"/>
          <w:sz w:val="24"/>
          <w:szCs w:val="24"/>
        </w:rPr>
        <w:t>(</w:t>
      </w:r>
      <w:r w:rsidR="00AA4CD7" w:rsidRPr="00AA4CD7">
        <w:rPr>
          <w:rFonts w:ascii="Times New Roman" w:hAnsi="Times New Roman" w:cs="Times New Roman"/>
          <w:sz w:val="24"/>
          <w:szCs w:val="24"/>
        </w:rPr>
        <w:t>Drugs.com</w:t>
      </w:r>
      <w:r w:rsidR="00751135">
        <w:rPr>
          <w:rFonts w:ascii="Times New Roman" w:hAnsi="Times New Roman" w:cs="Times New Roman"/>
          <w:sz w:val="24"/>
          <w:szCs w:val="24"/>
        </w:rPr>
        <w:t>, 2025</w:t>
      </w:r>
      <w:r w:rsidR="00AA4CD7">
        <w:rPr>
          <w:rFonts w:ascii="Times New Roman" w:hAnsi="Times New Roman" w:cs="Times New Roman"/>
          <w:sz w:val="24"/>
          <w:szCs w:val="24"/>
        </w:rPr>
        <w:t xml:space="preserve">, </w:t>
      </w:r>
      <w:r w:rsidR="00921682" w:rsidRPr="00921682">
        <w:rPr>
          <w:rFonts w:ascii="Times New Roman" w:hAnsi="Times New Roman" w:cs="Times New Roman"/>
          <w:sz w:val="24"/>
          <w:szCs w:val="24"/>
        </w:rPr>
        <w:t>Ganesan et al., 2023).</w:t>
      </w:r>
    </w:p>
    <w:p w14:paraId="2BE3DF59" w14:textId="55FB1793"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DD764D">
        <w:rPr>
          <w:rFonts w:ascii="Times New Roman" w:hAnsi="Times New Roman" w:cs="Times New Roman"/>
          <w:i/>
          <w:iCs/>
          <w:sz w:val="24"/>
          <w:szCs w:val="24"/>
        </w:rPr>
        <w:t>Mechanism of action (</w:t>
      </w:r>
      <w:r w:rsidR="00DD764D" w:rsidRPr="00686731">
        <w:rPr>
          <w:rFonts w:ascii="Times New Roman" w:hAnsi="Times New Roman" w:cs="Times New Roman"/>
          <w:i/>
          <w:iCs/>
          <w:sz w:val="24"/>
          <w:szCs w:val="24"/>
        </w:rPr>
        <w:t>PD</w:t>
      </w:r>
      <w:r w:rsidRPr="00DD764D">
        <w:rPr>
          <w:rFonts w:ascii="Times New Roman" w:hAnsi="Times New Roman" w:cs="Times New Roman"/>
          <w:i/>
          <w:iCs/>
          <w:sz w:val="24"/>
          <w:szCs w:val="24"/>
        </w:rPr>
        <w:t>)</w:t>
      </w:r>
      <w:r w:rsidRPr="00DD764D">
        <w:rPr>
          <w:rFonts w:ascii="Times New Roman" w:hAnsi="Times New Roman" w:cs="Times New Roman"/>
          <w:sz w:val="24"/>
          <w:szCs w:val="24"/>
        </w:rPr>
        <w:t xml:space="preserve">: </w:t>
      </w:r>
      <w:r w:rsidR="0074527A" w:rsidRPr="0074527A">
        <w:rPr>
          <w:rFonts w:ascii="Times New Roman" w:hAnsi="Times New Roman" w:cs="Times New Roman"/>
          <w:sz w:val="24"/>
          <w:szCs w:val="24"/>
        </w:rPr>
        <w:t>Closes adenosine triphosphate-sensitive potassium channels in pancreatic beta cells</w:t>
      </w:r>
      <w:r w:rsidR="0074527A">
        <w:rPr>
          <w:rFonts w:ascii="Times New Roman" w:hAnsi="Times New Roman" w:cs="Times New Roman"/>
          <w:sz w:val="24"/>
          <w:szCs w:val="24"/>
        </w:rPr>
        <w:t>,</w:t>
      </w:r>
      <w:r w:rsidR="0074527A" w:rsidRPr="0074527A">
        <w:rPr>
          <w:rFonts w:ascii="Times New Roman" w:hAnsi="Times New Roman" w:cs="Times New Roman"/>
          <w:sz w:val="24"/>
          <w:szCs w:val="24"/>
        </w:rPr>
        <w:t xml:space="preserve"> which triggers insulin release </w:t>
      </w:r>
      <w:r w:rsidRPr="00DD764D">
        <w:rPr>
          <w:rFonts w:ascii="Times New Roman" w:hAnsi="Times New Roman" w:cs="Times New Roman"/>
          <w:sz w:val="24"/>
          <w:szCs w:val="24"/>
        </w:rPr>
        <w:t>(Ganesan et al., 2023; Babiker &amp; Al Dubayee, 2017).</w:t>
      </w:r>
    </w:p>
    <w:p w14:paraId="653EDEF4" w14:textId="1DB74C70"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Clinical effects (</w:t>
      </w:r>
      <w:r w:rsidR="00DD764D" w:rsidRPr="005F2E21">
        <w:rPr>
          <w:rFonts w:ascii="Times New Roman" w:hAnsi="Times New Roman" w:cs="Times New Roman"/>
          <w:i/>
          <w:iCs/>
          <w:sz w:val="24"/>
          <w:szCs w:val="24"/>
        </w:rPr>
        <w:t>PD</w:t>
      </w:r>
      <w:r w:rsidRPr="005F2E21">
        <w:rPr>
          <w:rFonts w:ascii="Times New Roman" w:hAnsi="Times New Roman" w:cs="Times New Roman"/>
          <w:i/>
          <w:iCs/>
          <w:sz w:val="24"/>
          <w:szCs w:val="24"/>
        </w:rPr>
        <w:t>)</w:t>
      </w:r>
      <w:r w:rsidRPr="00DD764D">
        <w:rPr>
          <w:rFonts w:ascii="Times New Roman" w:hAnsi="Times New Roman" w:cs="Times New Roman"/>
          <w:sz w:val="24"/>
          <w:szCs w:val="24"/>
        </w:rPr>
        <w:t xml:space="preserve">: </w:t>
      </w:r>
      <w:r w:rsidR="00BC2798" w:rsidRPr="00BC2798">
        <w:rPr>
          <w:rFonts w:ascii="Times New Roman" w:hAnsi="Times New Roman" w:cs="Times New Roman"/>
          <w:sz w:val="24"/>
          <w:szCs w:val="24"/>
        </w:rPr>
        <w:t>Can effectively decrease blood sugar, but increase</w:t>
      </w:r>
      <w:r w:rsidR="00BC2798">
        <w:rPr>
          <w:rFonts w:ascii="Times New Roman" w:hAnsi="Times New Roman" w:cs="Times New Roman"/>
          <w:sz w:val="24"/>
          <w:szCs w:val="24"/>
        </w:rPr>
        <w:t>s</w:t>
      </w:r>
      <w:r w:rsidR="00BC2798" w:rsidRPr="00BC2798">
        <w:rPr>
          <w:rFonts w:ascii="Times New Roman" w:hAnsi="Times New Roman" w:cs="Times New Roman"/>
          <w:sz w:val="24"/>
          <w:szCs w:val="24"/>
        </w:rPr>
        <w:t xml:space="preserve"> risk of hypoglycemia and weight gain</w:t>
      </w:r>
      <w:r w:rsidR="00BC2798" w:rsidRPr="00BC2798">
        <w:rPr>
          <w:rFonts w:ascii="Times New Roman" w:hAnsi="Times New Roman" w:cs="Times New Roman"/>
          <w:sz w:val="24"/>
          <w:szCs w:val="24"/>
        </w:rPr>
        <w:t xml:space="preserve"> </w:t>
      </w:r>
      <w:r w:rsidRPr="00DD764D">
        <w:rPr>
          <w:rFonts w:ascii="Times New Roman" w:hAnsi="Times New Roman" w:cs="Times New Roman"/>
          <w:sz w:val="24"/>
          <w:szCs w:val="24"/>
        </w:rPr>
        <w:t>(Babiker &amp; Al Dubayee, 2017).</w:t>
      </w:r>
    </w:p>
    <w:p w14:paraId="5EA072DE" w14:textId="36BC0D95"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Absorption (pharmacokinetics)</w:t>
      </w:r>
      <w:r w:rsidRPr="00DD764D">
        <w:rPr>
          <w:rFonts w:ascii="Times New Roman" w:hAnsi="Times New Roman" w:cs="Times New Roman"/>
          <w:sz w:val="24"/>
          <w:szCs w:val="24"/>
        </w:rPr>
        <w:t xml:space="preserve">: </w:t>
      </w:r>
      <w:r w:rsidR="00B138B1" w:rsidRPr="00B138B1">
        <w:rPr>
          <w:rFonts w:ascii="Times New Roman" w:hAnsi="Times New Roman" w:cs="Times New Roman"/>
          <w:sz w:val="24"/>
          <w:szCs w:val="24"/>
        </w:rPr>
        <w:t>Absorbed following oral dosing, with effects linked to pre-meal administration</w:t>
      </w:r>
      <w:r w:rsidRPr="00DD764D">
        <w:rPr>
          <w:rFonts w:ascii="Times New Roman" w:hAnsi="Times New Roman" w:cs="Times New Roman"/>
          <w:sz w:val="24"/>
          <w:szCs w:val="24"/>
        </w:rPr>
        <w:t xml:space="preserve"> (</w:t>
      </w:r>
      <w:r w:rsidR="00AA2794" w:rsidRPr="00DD764D">
        <w:rPr>
          <w:rFonts w:ascii="Times New Roman" w:hAnsi="Times New Roman" w:cs="Times New Roman"/>
          <w:sz w:val="24"/>
          <w:szCs w:val="24"/>
        </w:rPr>
        <w:t>FDA, 2018</w:t>
      </w:r>
      <w:r w:rsidRPr="00DD764D">
        <w:rPr>
          <w:rFonts w:ascii="Times New Roman" w:hAnsi="Times New Roman" w:cs="Times New Roman"/>
          <w:sz w:val="24"/>
          <w:szCs w:val="24"/>
        </w:rPr>
        <w:t>).</w:t>
      </w:r>
    </w:p>
    <w:p w14:paraId="2452143C" w14:textId="3783ED06"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Distribution (</w:t>
      </w:r>
      <w:r w:rsidR="00DD764D" w:rsidRPr="009B53C7">
        <w:rPr>
          <w:rFonts w:ascii="Times New Roman" w:hAnsi="Times New Roman" w:cs="Times New Roman"/>
          <w:i/>
          <w:iCs/>
          <w:sz w:val="24"/>
          <w:szCs w:val="24"/>
        </w:rPr>
        <w:t>PK</w:t>
      </w:r>
      <w:r w:rsidRPr="005F2E21">
        <w:rPr>
          <w:rFonts w:ascii="Times New Roman" w:hAnsi="Times New Roman" w:cs="Times New Roman"/>
          <w:i/>
          <w:iCs/>
          <w:sz w:val="24"/>
          <w:szCs w:val="24"/>
        </w:rPr>
        <w:t>)</w:t>
      </w:r>
      <w:r w:rsidRPr="00DD764D">
        <w:rPr>
          <w:rFonts w:ascii="Times New Roman" w:hAnsi="Times New Roman" w:cs="Times New Roman"/>
          <w:sz w:val="24"/>
          <w:szCs w:val="24"/>
        </w:rPr>
        <w:t xml:space="preserve">: </w:t>
      </w:r>
      <w:r w:rsidR="00507F49" w:rsidRPr="00507F49">
        <w:rPr>
          <w:rFonts w:ascii="Times New Roman" w:hAnsi="Times New Roman" w:cs="Times New Roman"/>
          <w:sz w:val="24"/>
          <w:szCs w:val="24"/>
        </w:rPr>
        <w:t>Highly protein bound, which can increase risk of interaction with other protein</w:t>
      </w:r>
      <w:r w:rsidR="00507F49">
        <w:rPr>
          <w:rFonts w:ascii="Times New Roman" w:hAnsi="Times New Roman" w:cs="Times New Roman"/>
          <w:sz w:val="24"/>
          <w:szCs w:val="24"/>
        </w:rPr>
        <w:t>-</w:t>
      </w:r>
      <w:r w:rsidR="00507F49" w:rsidRPr="00507F49">
        <w:rPr>
          <w:rFonts w:ascii="Times New Roman" w:hAnsi="Times New Roman" w:cs="Times New Roman"/>
          <w:sz w:val="24"/>
          <w:szCs w:val="24"/>
        </w:rPr>
        <w:t>bound drugs</w:t>
      </w:r>
      <w:r w:rsidRPr="00DD764D">
        <w:rPr>
          <w:rFonts w:ascii="Times New Roman" w:hAnsi="Times New Roman" w:cs="Times New Roman"/>
          <w:sz w:val="24"/>
          <w:szCs w:val="24"/>
        </w:rPr>
        <w:t xml:space="preserve"> (FDA, 2018).</w:t>
      </w:r>
    </w:p>
    <w:p w14:paraId="377F218C" w14:textId="067479BC"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Metabolism (</w:t>
      </w:r>
      <w:r w:rsidR="00DD764D" w:rsidRPr="009B53C7">
        <w:rPr>
          <w:rFonts w:ascii="Times New Roman" w:hAnsi="Times New Roman" w:cs="Times New Roman"/>
          <w:i/>
          <w:iCs/>
          <w:sz w:val="24"/>
          <w:szCs w:val="24"/>
        </w:rPr>
        <w:t>PK</w:t>
      </w:r>
      <w:r w:rsidRPr="005F2E21">
        <w:rPr>
          <w:rFonts w:ascii="Times New Roman" w:hAnsi="Times New Roman" w:cs="Times New Roman"/>
          <w:i/>
          <w:iCs/>
          <w:sz w:val="24"/>
          <w:szCs w:val="24"/>
        </w:rPr>
        <w:t>)</w:t>
      </w:r>
      <w:r w:rsidRPr="00DD764D">
        <w:rPr>
          <w:rFonts w:ascii="Times New Roman" w:hAnsi="Times New Roman" w:cs="Times New Roman"/>
          <w:sz w:val="24"/>
          <w:szCs w:val="24"/>
        </w:rPr>
        <w:t xml:space="preserve">: </w:t>
      </w:r>
      <w:r w:rsidR="00F221AA" w:rsidRPr="00F221AA">
        <w:rPr>
          <w:rFonts w:ascii="Times New Roman" w:hAnsi="Times New Roman" w:cs="Times New Roman"/>
          <w:sz w:val="24"/>
          <w:szCs w:val="24"/>
        </w:rPr>
        <w:t>Metabolized in the liver, so liver disease and interacting medicines can increase drug exposure</w:t>
      </w:r>
      <w:r w:rsidRPr="00DD764D">
        <w:rPr>
          <w:rFonts w:ascii="Times New Roman" w:hAnsi="Times New Roman" w:cs="Times New Roman"/>
          <w:sz w:val="24"/>
          <w:szCs w:val="24"/>
        </w:rPr>
        <w:t xml:space="preserve"> (FDA, 2018).</w:t>
      </w:r>
    </w:p>
    <w:p w14:paraId="052F3EB5" w14:textId="6516CE10"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Excretion (</w:t>
      </w:r>
      <w:r w:rsidR="00DD764D" w:rsidRPr="009B53C7">
        <w:rPr>
          <w:rFonts w:ascii="Times New Roman" w:hAnsi="Times New Roman" w:cs="Times New Roman"/>
          <w:i/>
          <w:iCs/>
          <w:sz w:val="24"/>
          <w:szCs w:val="24"/>
        </w:rPr>
        <w:t>PK</w:t>
      </w:r>
      <w:r w:rsidRPr="005F2E21">
        <w:rPr>
          <w:rFonts w:ascii="Times New Roman" w:hAnsi="Times New Roman" w:cs="Times New Roman"/>
          <w:i/>
          <w:iCs/>
          <w:sz w:val="24"/>
          <w:szCs w:val="24"/>
        </w:rPr>
        <w:t>)</w:t>
      </w:r>
      <w:r w:rsidRPr="00DD764D">
        <w:rPr>
          <w:rFonts w:ascii="Times New Roman" w:hAnsi="Times New Roman" w:cs="Times New Roman"/>
          <w:sz w:val="24"/>
          <w:szCs w:val="24"/>
        </w:rPr>
        <w:t xml:space="preserve">: </w:t>
      </w:r>
      <w:r w:rsidR="001B7A2D" w:rsidRPr="001B7A2D">
        <w:rPr>
          <w:rFonts w:ascii="Times New Roman" w:hAnsi="Times New Roman" w:cs="Times New Roman"/>
          <w:sz w:val="24"/>
          <w:szCs w:val="24"/>
        </w:rPr>
        <w:t>Drug and metabolites are eliminated primarily through urine</w:t>
      </w:r>
      <w:r w:rsidR="00905D52">
        <w:rPr>
          <w:rFonts w:ascii="Times New Roman" w:hAnsi="Times New Roman" w:cs="Times New Roman"/>
          <w:sz w:val="24"/>
          <w:szCs w:val="24"/>
        </w:rPr>
        <w:t xml:space="preserve">. </w:t>
      </w:r>
      <w:r w:rsidR="00A65788" w:rsidRPr="00A65788">
        <w:rPr>
          <w:rFonts w:ascii="Times New Roman" w:hAnsi="Times New Roman" w:cs="Times New Roman"/>
          <w:sz w:val="24"/>
          <w:szCs w:val="24"/>
        </w:rPr>
        <w:t>Decreased kidney function can lead to an increased risk of hypoglycemia</w:t>
      </w:r>
      <w:r w:rsidRPr="00DD764D">
        <w:rPr>
          <w:rFonts w:ascii="Times New Roman" w:hAnsi="Times New Roman" w:cs="Times New Roman"/>
          <w:sz w:val="24"/>
          <w:szCs w:val="24"/>
        </w:rPr>
        <w:t xml:space="preserve"> (FDA, 2018).</w:t>
      </w:r>
    </w:p>
    <w:p w14:paraId="6E11F915" w14:textId="1D6EB121" w:rsidR="00921682" w:rsidRPr="00DD764D" w:rsidRDefault="00921682" w:rsidP="00DD764D">
      <w:pPr>
        <w:pStyle w:val="ListParagraph"/>
        <w:numPr>
          <w:ilvl w:val="0"/>
          <w:numId w:val="10"/>
        </w:numPr>
        <w:spacing w:after="0" w:line="480" w:lineRule="auto"/>
        <w:rPr>
          <w:rFonts w:ascii="Times New Roman" w:hAnsi="Times New Roman" w:cs="Times New Roman"/>
          <w:sz w:val="24"/>
          <w:szCs w:val="24"/>
        </w:rPr>
      </w:pPr>
      <w:r w:rsidRPr="005F2E21">
        <w:rPr>
          <w:rFonts w:ascii="Times New Roman" w:hAnsi="Times New Roman" w:cs="Times New Roman"/>
          <w:i/>
          <w:iCs/>
          <w:sz w:val="24"/>
          <w:szCs w:val="24"/>
        </w:rPr>
        <w:t>Contraindications (safety)</w:t>
      </w:r>
      <w:r w:rsidRPr="00DD764D">
        <w:rPr>
          <w:rFonts w:ascii="Times New Roman" w:hAnsi="Times New Roman" w:cs="Times New Roman"/>
          <w:sz w:val="24"/>
          <w:szCs w:val="24"/>
        </w:rPr>
        <w:t xml:space="preserve">: </w:t>
      </w:r>
      <w:r w:rsidR="000F0AE7" w:rsidRPr="000F0AE7">
        <w:rPr>
          <w:rFonts w:ascii="Times New Roman" w:hAnsi="Times New Roman" w:cs="Times New Roman"/>
          <w:sz w:val="24"/>
          <w:szCs w:val="24"/>
        </w:rPr>
        <w:t>Contraindications include type 1 diabetes, diabetic ketoacidosis, hypersensitivity to sulfonylureas or sulfonamides derivatives</w:t>
      </w:r>
      <w:r w:rsidR="000F0AE7" w:rsidRPr="000F0AE7">
        <w:rPr>
          <w:rFonts w:ascii="Times New Roman" w:hAnsi="Times New Roman" w:cs="Times New Roman"/>
          <w:sz w:val="24"/>
          <w:szCs w:val="24"/>
        </w:rPr>
        <w:t xml:space="preserve"> </w:t>
      </w:r>
      <w:r w:rsidRPr="00DD764D">
        <w:rPr>
          <w:rFonts w:ascii="Times New Roman" w:hAnsi="Times New Roman" w:cs="Times New Roman"/>
          <w:sz w:val="24"/>
          <w:szCs w:val="24"/>
        </w:rPr>
        <w:t xml:space="preserve">(Ganesan et al., 2023). </w:t>
      </w:r>
    </w:p>
    <w:p w14:paraId="425D35A7" w14:textId="4664601D" w:rsidR="001155D0" w:rsidRPr="001155D0" w:rsidRDefault="001155D0" w:rsidP="001155D0">
      <w:pPr>
        <w:pStyle w:val="ListParagraph"/>
        <w:numPr>
          <w:ilvl w:val="0"/>
          <w:numId w:val="9"/>
        </w:numPr>
        <w:spacing w:after="0" w:line="480" w:lineRule="auto"/>
        <w:rPr>
          <w:rFonts w:ascii="Times New Roman" w:hAnsi="Times New Roman" w:cs="Times New Roman"/>
          <w:b/>
          <w:bCs/>
          <w:sz w:val="24"/>
          <w:szCs w:val="24"/>
        </w:rPr>
      </w:pPr>
      <w:r w:rsidRPr="001155D0">
        <w:rPr>
          <w:rFonts w:ascii="Times New Roman" w:hAnsi="Times New Roman" w:cs="Times New Roman"/>
          <w:b/>
          <w:bCs/>
          <w:sz w:val="24"/>
          <w:szCs w:val="24"/>
        </w:rPr>
        <w:t>DPP-4 inhibitors</w:t>
      </w:r>
    </w:p>
    <w:p w14:paraId="0F52544E" w14:textId="75AC1255" w:rsidR="001155D0" w:rsidRPr="001155D0" w:rsidRDefault="001155D0" w:rsidP="00A61FE6">
      <w:pPr>
        <w:spacing w:after="0" w:line="480" w:lineRule="auto"/>
        <w:ind w:firstLine="720"/>
        <w:rPr>
          <w:rFonts w:ascii="Times New Roman" w:hAnsi="Times New Roman" w:cs="Times New Roman"/>
          <w:sz w:val="24"/>
          <w:szCs w:val="24"/>
        </w:rPr>
      </w:pPr>
      <w:r w:rsidRPr="001155D0">
        <w:rPr>
          <w:rFonts w:ascii="Times New Roman" w:hAnsi="Times New Roman" w:cs="Times New Roman"/>
          <w:sz w:val="24"/>
          <w:szCs w:val="24"/>
        </w:rPr>
        <w:t>DPP-4 inhibitors lower blood sugar by increasing incretin hormone activity</w:t>
      </w:r>
      <w:r w:rsidR="00A61FE6">
        <w:rPr>
          <w:rFonts w:ascii="Times New Roman" w:hAnsi="Times New Roman" w:cs="Times New Roman"/>
          <w:sz w:val="24"/>
          <w:szCs w:val="24"/>
        </w:rPr>
        <w:t>. E</w:t>
      </w:r>
      <w:r w:rsidRPr="001155D0">
        <w:rPr>
          <w:rFonts w:ascii="Times New Roman" w:hAnsi="Times New Roman" w:cs="Times New Roman"/>
          <w:sz w:val="24"/>
          <w:szCs w:val="24"/>
        </w:rPr>
        <w:t>xample: sitagliptin</w:t>
      </w:r>
      <w:r w:rsidR="00A61FE6">
        <w:rPr>
          <w:rFonts w:ascii="Times New Roman" w:hAnsi="Times New Roman" w:cs="Times New Roman"/>
          <w:sz w:val="24"/>
          <w:szCs w:val="24"/>
        </w:rPr>
        <w:t>,</w:t>
      </w:r>
      <w:r w:rsidRPr="001155D0">
        <w:rPr>
          <w:rFonts w:ascii="Times New Roman" w:hAnsi="Times New Roman" w:cs="Times New Roman"/>
          <w:sz w:val="24"/>
          <w:szCs w:val="24"/>
        </w:rPr>
        <w:t xml:space="preserve"> 25 mg, 50 mg, or 100 mg by mouth</w:t>
      </w:r>
      <w:r w:rsidR="00A61FE6">
        <w:rPr>
          <w:rFonts w:ascii="Times New Roman" w:hAnsi="Times New Roman" w:cs="Times New Roman"/>
          <w:sz w:val="24"/>
          <w:szCs w:val="24"/>
        </w:rPr>
        <w:t>,</w:t>
      </w:r>
      <w:r w:rsidRPr="001155D0">
        <w:rPr>
          <w:rFonts w:ascii="Times New Roman" w:hAnsi="Times New Roman" w:cs="Times New Roman"/>
          <w:sz w:val="24"/>
          <w:szCs w:val="24"/>
        </w:rPr>
        <w:t xml:space="preserve"> once daily (</w:t>
      </w:r>
      <w:r w:rsidR="00751135" w:rsidRPr="00751135">
        <w:rPr>
          <w:rFonts w:ascii="Times New Roman" w:hAnsi="Times New Roman" w:cs="Times New Roman"/>
          <w:sz w:val="24"/>
          <w:szCs w:val="24"/>
        </w:rPr>
        <w:t>Drugs.com, 2025</w:t>
      </w:r>
      <w:r w:rsidRPr="001155D0">
        <w:rPr>
          <w:rFonts w:ascii="Times New Roman" w:hAnsi="Times New Roman" w:cs="Times New Roman"/>
          <w:sz w:val="24"/>
          <w:szCs w:val="24"/>
        </w:rPr>
        <w:t>).</w:t>
      </w:r>
    </w:p>
    <w:p w14:paraId="0DA9C501" w14:textId="3B334913" w:rsidR="001155D0" w:rsidRPr="009E21B5" w:rsidRDefault="001155D0" w:rsidP="009E21B5">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lastRenderedPageBreak/>
        <w:t>Mechanism of action (</w:t>
      </w:r>
      <w:r w:rsidR="009E21B5" w:rsidRPr="00FC6C0B">
        <w:rPr>
          <w:rFonts w:ascii="Times New Roman" w:hAnsi="Times New Roman" w:cs="Times New Roman"/>
          <w:i/>
          <w:iCs/>
          <w:sz w:val="24"/>
          <w:szCs w:val="24"/>
        </w:rPr>
        <w:t>PD</w:t>
      </w:r>
      <w:r w:rsidRPr="00FC6C0B">
        <w:rPr>
          <w:rFonts w:ascii="Times New Roman" w:hAnsi="Times New Roman" w:cs="Times New Roman"/>
          <w:i/>
          <w:iCs/>
          <w:sz w:val="24"/>
          <w:szCs w:val="24"/>
        </w:rPr>
        <w:t>)</w:t>
      </w:r>
      <w:r w:rsidRPr="009E21B5">
        <w:rPr>
          <w:rFonts w:ascii="Times New Roman" w:hAnsi="Times New Roman" w:cs="Times New Roman"/>
          <w:sz w:val="24"/>
          <w:szCs w:val="24"/>
        </w:rPr>
        <w:t>: Inhibits dipeptidyl peptidase 4, which increases active glucagon-like peptide 1 and glucose-dependent insulinotropic polypeptide, leading to increased glucose-dependent insulin release and reduced glucagon release (Babiker &amp; Al Dubayee, 2017).</w:t>
      </w:r>
    </w:p>
    <w:p w14:paraId="648817BB" w14:textId="5DF49D0B" w:rsidR="001155D0" w:rsidRPr="009E21B5" w:rsidRDefault="001155D0" w:rsidP="009E21B5">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t>Clinical effects (</w:t>
      </w:r>
      <w:r w:rsidR="009E21B5" w:rsidRPr="00FC6C0B">
        <w:rPr>
          <w:rFonts w:ascii="Times New Roman" w:hAnsi="Times New Roman" w:cs="Times New Roman"/>
          <w:i/>
          <w:iCs/>
          <w:sz w:val="24"/>
          <w:szCs w:val="24"/>
        </w:rPr>
        <w:t>PD</w:t>
      </w:r>
      <w:r w:rsidRPr="00FC6C0B">
        <w:rPr>
          <w:rFonts w:ascii="Times New Roman" w:hAnsi="Times New Roman" w:cs="Times New Roman"/>
          <w:i/>
          <w:iCs/>
          <w:sz w:val="24"/>
          <w:szCs w:val="24"/>
        </w:rPr>
        <w:t>)</w:t>
      </w:r>
      <w:r w:rsidRPr="009E21B5">
        <w:rPr>
          <w:rFonts w:ascii="Times New Roman" w:hAnsi="Times New Roman" w:cs="Times New Roman"/>
          <w:sz w:val="24"/>
          <w:szCs w:val="24"/>
        </w:rPr>
        <w:t xml:space="preserve">: </w:t>
      </w:r>
      <w:r w:rsidR="002969B5">
        <w:rPr>
          <w:rFonts w:ascii="Times New Roman" w:hAnsi="Times New Roman" w:cs="Times New Roman"/>
          <w:sz w:val="24"/>
          <w:szCs w:val="24"/>
        </w:rPr>
        <w:t>It</w:t>
      </w:r>
      <w:r w:rsidR="002969B5" w:rsidRPr="002969B5">
        <w:rPr>
          <w:rFonts w:ascii="Times New Roman" w:hAnsi="Times New Roman" w:cs="Times New Roman"/>
          <w:sz w:val="24"/>
          <w:szCs w:val="24"/>
        </w:rPr>
        <w:t xml:space="preserve"> does not result in weight gain and has a low hypoglycemia risk when not combined with insulin or the sulfonylureas</w:t>
      </w:r>
      <w:r w:rsidR="002969B5" w:rsidRPr="002969B5">
        <w:rPr>
          <w:rFonts w:ascii="Times New Roman" w:hAnsi="Times New Roman" w:cs="Times New Roman"/>
          <w:sz w:val="24"/>
          <w:szCs w:val="24"/>
        </w:rPr>
        <w:t xml:space="preserve"> </w:t>
      </w:r>
      <w:r w:rsidRPr="009E21B5">
        <w:rPr>
          <w:rFonts w:ascii="Times New Roman" w:hAnsi="Times New Roman" w:cs="Times New Roman"/>
          <w:sz w:val="24"/>
          <w:szCs w:val="24"/>
        </w:rPr>
        <w:t>(Babiker &amp; Al Dubayee, 2017).</w:t>
      </w:r>
    </w:p>
    <w:p w14:paraId="1CE3D93B" w14:textId="4E57C969" w:rsidR="001155D0" w:rsidRPr="009E21B5" w:rsidRDefault="001155D0" w:rsidP="009E21B5">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t>Absorption (</w:t>
      </w:r>
      <w:r w:rsidR="009E21B5" w:rsidRPr="00FC6C0B">
        <w:rPr>
          <w:rFonts w:ascii="Times New Roman" w:hAnsi="Times New Roman" w:cs="Times New Roman"/>
          <w:i/>
          <w:iCs/>
          <w:sz w:val="24"/>
          <w:szCs w:val="24"/>
        </w:rPr>
        <w:t>PK</w:t>
      </w:r>
      <w:r w:rsidRPr="00FC6C0B">
        <w:rPr>
          <w:rFonts w:ascii="Times New Roman" w:hAnsi="Times New Roman" w:cs="Times New Roman"/>
          <w:i/>
          <w:iCs/>
          <w:sz w:val="24"/>
          <w:szCs w:val="24"/>
        </w:rPr>
        <w:t>)</w:t>
      </w:r>
      <w:r w:rsidRPr="009E21B5">
        <w:rPr>
          <w:rFonts w:ascii="Times New Roman" w:hAnsi="Times New Roman" w:cs="Times New Roman"/>
          <w:sz w:val="24"/>
          <w:szCs w:val="24"/>
        </w:rPr>
        <w:t xml:space="preserve">: </w:t>
      </w:r>
      <w:r w:rsidR="00ED6592" w:rsidRPr="00ED6592">
        <w:rPr>
          <w:rFonts w:ascii="Times New Roman" w:hAnsi="Times New Roman" w:cs="Times New Roman"/>
          <w:sz w:val="24"/>
          <w:szCs w:val="24"/>
        </w:rPr>
        <w:t>Absorbed after oral dosing with exposure that supports once-daily use</w:t>
      </w:r>
      <w:r w:rsidR="00ED6592" w:rsidRPr="00ED6592">
        <w:rPr>
          <w:rFonts w:ascii="Times New Roman" w:hAnsi="Times New Roman" w:cs="Times New Roman"/>
          <w:sz w:val="24"/>
          <w:szCs w:val="24"/>
        </w:rPr>
        <w:t xml:space="preserve"> </w:t>
      </w:r>
      <w:r w:rsidRPr="009E21B5">
        <w:rPr>
          <w:rFonts w:ascii="Times New Roman" w:hAnsi="Times New Roman" w:cs="Times New Roman"/>
          <w:sz w:val="24"/>
          <w:szCs w:val="24"/>
        </w:rPr>
        <w:t>(FDA, 2022).</w:t>
      </w:r>
    </w:p>
    <w:p w14:paraId="73EC448B" w14:textId="489267DA" w:rsidR="001155D0" w:rsidRPr="009E21B5" w:rsidRDefault="001155D0" w:rsidP="009E21B5">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t>Distribution (</w:t>
      </w:r>
      <w:r w:rsidR="009E21B5" w:rsidRPr="00FC6C0B">
        <w:rPr>
          <w:rFonts w:ascii="Times New Roman" w:hAnsi="Times New Roman" w:cs="Times New Roman"/>
          <w:i/>
          <w:iCs/>
          <w:sz w:val="24"/>
          <w:szCs w:val="24"/>
        </w:rPr>
        <w:t>PK</w:t>
      </w:r>
      <w:r w:rsidRPr="00FC6C0B">
        <w:rPr>
          <w:rFonts w:ascii="Times New Roman" w:hAnsi="Times New Roman" w:cs="Times New Roman"/>
          <w:i/>
          <w:iCs/>
          <w:sz w:val="24"/>
          <w:szCs w:val="24"/>
        </w:rPr>
        <w:t>)</w:t>
      </w:r>
      <w:r w:rsidRPr="009E21B5">
        <w:rPr>
          <w:rFonts w:ascii="Times New Roman" w:hAnsi="Times New Roman" w:cs="Times New Roman"/>
          <w:sz w:val="24"/>
          <w:szCs w:val="24"/>
        </w:rPr>
        <w:t xml:space="preserve">: </w:t>
      </w:r>
      <w:r w:rsidR="00217404" w:rsidRPr="00217404">
        <w:rPr>
          <w:rFonts w:ascii="Times New Roman" w:hAnsi="Times New Roman" w:cs="Times New Roman"/>
          <w:sz w:val="24"/>
          <w:szCs w:val="24"/>
        </w:rPr>
        <w:t>Primarily distributed systemically with low-to-moderate protein binding</w:t>
      </w:r>
      <w:r w:rsidR="00217404" w:rsidRPr="00217404">
        <w:rPr>
          <w:rFonts w:ascii="Times New Roman" w:hAnsi="Times New Roman" w:cs="Times New Roman"/>
          <w:sz w:val="24"/>
          <w:szCs w:val="24"/>
        </w:rPr>
        <w:t xml:space="preserve"> </w:t>
      </w:r>
      <w:r w:rsidRPr="009E21B5">
        <w:rPr>
          <w:rFonts w:ascii="Times New Roman" w:hAnsi="Times New Roman" w:cs="Times New Roman"/>
          <w:sz w:val="24"/>
          <w:szCs w:val="24"/>
        </w:rPr>
        <w:t>(FDA, 2022).</w:t>
      </w:r>
    </w:p>
    <w:p w14:paraId="2934DD12" w14:textId="0E00D15F" w:rsidR="001155D0" w:rsidRPr="009E21B5" w:rsidRDefault="001155D0" w:rsidP="009E21B5">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t>Metabolism (</w:t>
      </w:r>
      <w:r w:rsidR="009E21B5" w:rsidRPr="00FC6C0B">
        <w:rPr>
          <w:rFonts w:ascii="Times New Roman" w:hAnsi="Times New Roman" w:cs="Times New Roman"/>
          <w:i/>
          <w:iCs/>
          <w:sz w:val="24"/>
          <w:szCs w:val="24"/>
        </w:rPr>
        <w:t>PK</w:t>
      </w:r>
      <w:r w:rsidRPr="00FC6C0B">
        <w:rPr>
          <w:rFonts w:ascii="Times New Roman" w:hAnsi="Times New Roman" w:cs="Times New Roman"/>
          <w:i/>
          <w:iCs/>
          <w:sz w:val="24"/>
          <w:szCs w:val="24"/>
        </w:rPr>
        <w:t>)</w:t>
      </w:r>
      <w:r w:rsidRPr="009E21B5">
        <w:rPr>
          <w:rFonts w:ascii="Times New Roman" w:hAnsi="Times New Roman" w:cs="Times New Roman"/>
          <w:sz w:val="24"/>
          <w:szCs w:val="24"/>
        </w:rPr>
        <w:t xml:space="preserve">: </w:t>
      </w:r>
      <w:r w:rsidR="003F4D4C" w:rsidRPr="003F4D4C">
        <w:rPr>
          <w:rFonts w:ascii="Times New Roman" w:hAnsi="Times New Roman" w:cs="Times New Roman"/>
          <w:sz w:val="24"/>
          <w:szCs w:val="24"/>
        </w:rPr>
        <w:t>Poor metabolism. Much of the drug is left unchanged</w:t>
      </w:r>
      <w:r w:rsidR="003F4D4C" w:rsidRPr="003F4D4C">
        <w:rPr>
          <w:rFonts w:ascii="Times New Roman" w:hAnsi="Times New Roman" w:cs="Times New Roman"/>
          <w:sz w:val="24"/>
          <w:szCs w:val="24"/>
        </w:rPr>
        <w:t xml:space="preserve"> </w:t>
      </w:r>
      <w:r w:rsidRPr="009E21B5">
        <w:rPr>
          <w:rFonts w:ascii="Times New Roman" w:hAnsi="Times New Roman" w:cs="Times New Roman"/>
          <w:sz w:val="24"/>
          <w:szCs w:val="24"/>
        </w:rPr>
        <w:t>(FDA, 2022).</w:t>
      </w:r>
    </w:p>
    <w:p w14:paraId="0181AF71" w14:textId="3704597C" w:rsidR="001155D0" w:rsidRPr="009E21B5" w:rsidRDefault="001155D0" w:rsidP="0046544C">
      <w:pPr>
        <w:pStyle w:val="ListParagraph"/>
        <w:numPr>
          <w:ilvl w:val="0"/>
          <w:numId w:val="11"/>
        </w:numPr>
        <w:spacing w:after="0" w:line="480" w:lineRule="auto"/>
        <w:rPr>
          <w:rFonts w:ascii="Times New Roman" w:hAnsi="Times New Roman" w:cs="Times New Roman"/>
          <w:sz w:val="24"/>
          <w:szCs w:val="24"/>
        </w:rPr>
      </w:pPr>
      <w:r w:rsidRPr="00FC6C0B">
        <w:rPr>
          <w:rFonts w:ascii="Times New Roman" w:hAnsi="Times New Roman" w:cs="Times New Roman"/>
          <w:i/>
          <w:iCs/>
          <w:sz w:val="24"/>
          <w:szCs w:val="24"/>
        </w:rPr>
        <w:t>Excretion (</w:t>
      </w:r>
      <w:r w:rsidR="009E21B5" w:rsidRPr="00FC6C0B">
        <w:rPr>
          <w:rFonts w:ascii="Times New Roman" w:hAnsi="Times New Roman" w:cs="Times New Roman"/>
          <w:i/>
          <w:iCs/>
          <w:sz w:val="24"/>
          <w:szCs w:val="24"/>
        </w:rPr>
        <w:t>PK</w:t>
      </w:r>
      <w:r w:rsidRPr="00FC6C0B">
        <w:rPr>
          <w:rFonts w:ascii="Times New Roman" w:hAnsi="Times New Roman" w:cs="Times New Roman"/>
          <w:i/>
          <w:iCs/>
          <w:sz w:val="24"/>
          <w:szCs w:val="24"/>
        </w:rPr>
        <w:t>)</w:t>
      </w:r>
      <w:r w:rsidRPr="009E21B5">
        <w:rPr>
          <w:rFonts w:ascii="Times New Roman" w:hAnsi="Times New Roman" w:cs="Times New Roman"/>
          <w:sz w:val="24"/>
          <w:szCs w:val="24"/>
        </w:rPr>
        <w:t xml:space="preserve">: </w:t>
      </w:r>
      <w:r w:rsidR="0046544C" w:rsidRPr="0046544C">
        <w:rPr>
          <w:rFonts w:ascii="Times New Roman" w:hAnsi="Times New Roman" w:cs="Times New Roman"/>
          <w:sz w:val="24"/>
          <w:szCs w:val="24"/>
        </w:rPr>
        <w:t xml:space="preserve">The primary excretion route is through the kidneys, and thus drug exposure rises with a compromised renal system and necessitates </w:t>
      </w:r>
      <w:r w:rsidR="0046544C">
        <w:rPr>
          <w:rFonts w:ascii="Times New Roman" w:hAnsi="Times New Roman" w:cs="Times New Roman"/>
          <w:sz w:val="24"/>
          <w:szCs w:val="24"/>
        </w:rPr>
        <w:t xml:space="preserve">a </w:t>
      </w:r>
      <w:r w:rsidR="0046544C" w:rsidRPr="0046544C">
        <w:rPr>
          <w:rFonts w:ascii="Times New Roman" w:hAnsi="Times New Roman" w:cs="Times New Roman"/>
          <w:sz w:val="24"/>
          <w:szCs w:val="24"/>
        </w:rPr>
        <w:t>lower dose</w:t>
      </w:r>
      <w:r w:rsidRPr="009E21B5">
        <w:rPr>
          <w:rFonts w:ascii="Times New Roman" w:hAnsi="Times New Roman" w:cs="Times New Roman"/>
          <w:sz w:val="24"/>
          <w:szCs w:val="24"/>
        </w:rPr>
        <w:t xml:space="preserve"> (Ganesan et al., 2023).</w:t>
      </w:r>
    </w:p>
    <w:p w14:paraId="4D852E9C" w14:textId="703AE33C" w:rsidR="00921682" w:rsidRPr="00E96634" w:rsidRDefault="001155D0" w:rsidP="00BB1B1B">
      <w:pPr>
        <w:pStyle w:val="ListParagraph"/>
        <w:numPr>
          <w:ilvl w:val="0"/>
          <w:numId w:val="11"/>
        </w:numPr>
        <w:spacing w:after="0" w:line="480" w:lineRule="auto"/>
        <w:rPr>
          <w:rFonts w:ascii="Times New Roman" w:hAnsi="Times New Roman" w:cs="Times New Roman"/>
          <w:sz w:val="24"/>
          <w:szCs w:val="24"/>
        </w:rPr>
      </w:pPr>
      <w:r w:rsidRPr="00E96634">
        <w:rPr>
          <w:rFonts w:ascii="Times New Roman" w:hAnsi="Times New Roman" w:cs="Times New Roman"/>
          <w:i/>
          <w:iCs/>
          <w:sz w:val="24"/>
          <w:szCs w:val="24"/>
        </w:rPr>
        <w:t>Contraindications/precautions (safety)</w:t>
      </w:r>
      <w:r w:rsidRPr="00E96634">
        <w:rPr>
          <w:rFonts w:ascii="Times New Roman" w:hAnsi="Times New Roman" w:cs="Times New Roman"/>
          <w:sz w:val="24"/>
          <w:szCs w:val="24"/>
        </w:rPr>
        <w:t xml:space="preserve">: </w:t>
      </w:r>
      <w:r w:rsidR="00367D35" w:rsidRPr="00E96634">
        <w:rPr>
          <w:rFonts w:ascii="Times New Roman" w:hAnsi="Times New Roman" w:cs="Times New Roman"/>
          <w:sz w:val="24"/>
          <w:szCs w:val="24"/>
        </w:rPr>
        <w:t xml:space="preserve">Adverse effects are rare but severe, and they include acute pancreatitis and kidney problems, </w:t>
      </w:r>
      <w:r w:rsidR="00E96634" w:rsidRPr="00E96634">
        <w:rPr>
          <w:rFonts w:ascii="Times New Roman" w:hAnsi="Times New Roman" w:cs="Times New Roman"/>
          <w:sz w:val="24"/>
          <w:szCs w:val="24"/>
        </w:rPr>
        <w:t>and clinicians need to monitor the state and evaluate renal function in the needed cases</w:t>
      </w:r>
      <w:r w:rsidR="00E91A24" w:rsidRPr="00E96634">
        <w:rPr>
          <w:rFonts w:ascii="Times New Roman" w:hAnsi="Times New Roman" w:cs="Times New Roman"/>
          <w:sz w:val="24"/>
          <w:szCs w:val="24"/>
        </w:rPr>
        <w:t xml:space="preserve"> </w:t>
      </w:r>
      <w:r w:rsidRPr="00E96634">
        <w:rPr>
          <w:rFonts w:ascii="Times New Roman" w:hAnsi="Times New Roman" w:cs="Times New Roman"/>
          <w:sz w:val="24"/>
          <w:szCs w:val="24"/>
        </w:rPr>
        <w:t>(Ganesan et al., 2023).</w:t>
      </w:r>
    </w:p>
    <w:p w14:paraId="013096CF" w14:textId="4B79C240" w:rsidR="00084D6F" w:rsidRPr="004A1FD7" w:rsidRDefault="00084D6F" w:rsidP="004A1FD7">
      <w:pPr>
        <w:pStyle w:val="ListParagraph"/>
        <w:numPr>
          <w:ilvl w:val="0"/>
          <w:numId w:val="9"/>
        </w:numPr>
        <w:spacing w:after="0" w:line="480" w:lineRule="auto"/>
        <w:rPr>
          <w:rFonts w:ascii="Times New Roman" w:hAnsi="Times New Roman" w:cs="Times New Roman"/>
          <w:b/>
          <w:bCs/>
          <w:sz w:val="24"/>
          <w:szCs w:val="24"/>
        </w:rPr>
      </w:pPr>
      <w:r w:rsidRPr="004A1FD7">
        <w:rPr>
          <w:rFonts w:ascii="Times New Roman" w:hAnsi="Times New Roman" w:cs="Times New Roman"/>
          <w:b/>
          <w:bCs/>
          <w:sz w:val="24"/>
          <w:szCs w:val="24"/>
        </w:rPr>
        <w:t>SGLT2 inhibitors</w:t>
      </w:r>
    </w:p>
    <w:p w14:paraId="464526B0" w14:textId="77777777" w:rsidR="009754A8" w:rsidRDefault="00084D6F" w:rsidP="009754A8">
      <w:pPr>
        <w:spacing w:after="0" w:line="480" w:lineRule="auto"/>
        <w:ind w:firstLine="720"/>
        <w:rPr>
          <w:rFonts w:ascii="Times New Roman" w:hAnsi="Times New Roman" w:cs="Times New Roman"/>
          <w:sz w:val="24"/>
          <w:szCs w:val="24"/>
        </w:rPr>
      </w:pPr>
      <w:r w:rsidRPr="00084D6F">
        <w:rPr>
          <w:rFonts w:ascii="Times New Roman" w:hAnsi="Times New Roman" w:cs="Times New Roman"/>
          <w:sz w:val="24"/>
          <w:szCs w:val="24"/>
        </w:rPr>
        <w:t>SGLT2 inhibitors lower blood sugar by increasing urinary glucose excretion through the kidneys</w:t>
      </w:r>
      <w:r w:rsidR="00DB41C0">
        <w:rPr>
          <w:rFonts w:ascii="Times New Roman" w:hAnsi="Times New Roman" w:cs="Times New Roman"/>
          <w:sz w:val="24"/>
          <w:szCs w:val="24"/>
        </w:rPr>
        <w:t>. E</w:t>
      </w:r>
      <w:r w:rsidRPr="00084D6F">
        <w:rPr>
          <w:rFonts w:ascii="Times New Roman" w:hAnsi="Times New Roman" w:cs="Times New Roman"/>
          <w:sz w:val="24"/>
          <w:szCs w:val="24"/>
        </w:rPr>
        <w:t>xample: empagliflozin</w:t>
      </w:r>
      <w:r w:rsidR="00DB41C0">
        <w:rPr>
          <w:rFonts w:ascii="Times New Roman" w:hAnsi="Times New Roman" w:cs="Times New Roman"/>
          <w:sz w:val="24"/>
          <w:szCs w:val="24"/>
        </w:rPr>
        <w:t>,</w:t>
      </w:r>
      <w:r w:rsidRPr="00084D6F">
        <w:rPr>
          <w:rFonts w:ascii="Times New Roman" w:hAnsi="Times New Roman" w:cs="Times New Roman"/>
          <w:sz w:val="24"/>
          <w:szCs w:val="24"/>
        </w:rPr>
        <w:t xml:space="preserve"> 10 mg or 25 mg by mouth</w:t>
      </w:r>
      <w:r w:rsidR="00DB41C0">
        <w:rPr>
          <w:rFonts w:ascii="Times New Roman" w:hAnsi="Times New Roman" w:cs="Times New Roman"/>
          <w:sz w:val="24"/>
          <w:szCs w:val="24"/>
        </w:rPr>
        <w:t>,</w:t>
      </w:r>
      <w:r w:rsidRPr="00084D6F">
        <w:rPr>
          <w:rFonts w:ascii="Times New Roman" w:hAnsi="Times New Roman" w:cs="Times New Roman"/>
          <w:sz w:val="24"/>
          <w:szCs w:val="24"/>
        </w:rPr>
        <w:t xml:space="preserve"> once daily (Ganesan et al., 2023; </w:t>
      </w:r>
      <w:r w:rsidR="00DB41C0" w:rsidRPr="00751135">
        <w:rPr>
          <w:rFonts w:ascii="Times New Roman" w:hAnsi="Times New Roman" w:cs="Times New Roman"/>
          <w:sz w:val="24"/>
          <w:szCs w:val="24"/>
        </w:rPr>
        <w:t>Drugs.com, 2025</w:t>
      </w:r>
      <w:r w:rsidRPr="00084D6F">
        <w:rPr>
          <w:rFonts w:ascii="Times New Roman" w:hAnsi="Times New Roman" w:cs="Times New Roman"/>
          <w:sz w:val="24"/>
          <w:szCs w:val="24"/>
        </w:rPr>
        <w:t>).</w:t>
      </w:r>
    </w:p>
    <w:p w14:paraId="700A35DF" w14:textId="30A014FE"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531E11">
        <w:rPr>
          <w:rFonts w:ascii="Times New Roman" w:hAnsi="Times New Roman" w:cs="Times New Roman"/>
          <w:i/>
          <w:iCs/>
          <w:sz w:val="24"/>
          <w:szCs w:val="24"/>
        </w:rPr>
        <w:lastRenderedPageBreak/>
        <w:t>Mechanism of action (</w:t>
      </w:r>
      <w:r w:rsidR="00531E11">
        <w:rPr>
          <w:rFonts w:ascii="Times New Roman" w:hAnsi="Times New Roman" w:cs="Times New Roman"/>
          <w:i/>
          <w:iCs/>
          <w:sz w:val="24"/>
          <w:szCs w:val="24"/>
        </w:rPr>
        <w:t>PD</w:t>
      </w:r>
      <w:r w:rsidRPr="00531E11">
        <w:rPr>
          <w:rFonts w:ascii="Times New Roman" w:hAnsi="Times New Roman" w:cs="Times New Roman"/>
          <w:i/>
          <w:iCs/>
          <w:sz w:val="24"/>
          <w:szCs w:val="24"/>
        </w:rPr>
        <w:t>)</w:t>
      </w:r>
      <w:r w:rsidRPr="00531E11">
        <w:rPr>
          <w:rFonts w:ascii="Times New Roman" w:hAnsi="Times New Roman" w:cs="Times New Roman"/>
          <w:sz w:val="24"/>
          <w:szCs w:val="24"/>
        </w:rPr>
        <w:t xml:space="preserve">: </w:t>
      </w:r>
      <w:r w:rsidR="00466DCB" w:rsidRPr="00466DCB">
        <w:rPr>
          <w:rFonts w:ascii="Times New Roman" w:hAnsi="Times New Roman" w:cs="Times New Roman"/>
          <w:sz w:val="24"/>
          <w:szCs w:val="24"/>
        </w:rPr>
        <w:t>Inhibits sodium-glucose cotransporter 2 in the proximal renal tubule, which slows down glucose reabsorption and leads to glucosuria</w:t>
      </w:r>
      <w:r w:rsidR="00466DCB" w:rsidRPr="00466DCB">
        <w:rPr>
          <w:rFonts w:ascii="Times New Roman" w:hAnsi="Times New Roman" w:cs="Times New Roman"/>
          <w:sz w:val="24"/>
          <w:szCs w:val="24"/>
        </w:rPr>
        <w:t xml:space="preserve"> </w:t>
      </w:r>
      <w:r w:rsidRPr="00531E11">
        <w:rPr>
          <w:rFonts w:ascii="Times New Roman" w:hAnsi="Times New Roman" w:cs="Times New Roman"/>
          <w:sz w:val="24"/>
          <w:szCs w:val="24"/>
        </w:rPr>
        <w:t>(Babiker &amp; Al Dubayee, 2017).</w:t>
      </w:r>
    </w:p>
    <w:p w14:paraId="6A0436CB" w14:textId="543BFC74"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Clinical effects (</w:t>
      </w:r>
      <w:r w:rsidR="00531E11" w:rsidRPr="0038286B">
        <w:rPr>
          <w:rFonts w:ascii="Times New Roman" w:hAnsi="Times New Roman" w:cs="Times New Roman"/>
          <w:i/>
          <w:iCs/>
          <w:sz w:val="24"/>
          <w:szCs w:val="24"/>
        </w:rPr>
        <w:t>PD</w:t>
      </w:r>
      <w:r w:rsidRPr="0038286B">
        <w:rPr>
          <w:rFonts w:ascii="Times New Roman" w:hAnsi="Times New Roman" w:cs="Times New Roman"/>
          <w:i/>
          <w:iCs/>
          <w:sz w:val="24"/>
          <w:szCs w:val="24"/>
        </w:rPr>
        <w:t>)</w:t>
      </w:r>
      <w:r w:rsidRPr="00531E11">
        <w:rPr>
          <w:rFonts w:ascii="Times New Roman" w:hAnsi="Times New Roman" w:cs="Times New Roman"/>
          <w:sz w:val="24"/>
          <w:szCs w:val="24"/>
        </w:rPr>
        <w:t xml:space="preserve">: </w:t>
      </w:r>
      <w:r w:rsidR="004B5603" w:rsidRPr="004B5603">
        <w:rPr>
          <w:rFonts w:ascii="Times New Roman" w:hAnsi="Times New Roman" w:cs="Times New Roman"/>
          <w:sz w:val="24"/>
          <w:szCs w:val="24"/>
        </w:rPr>
        <w:t>May be useful in weight loss and blood pressure reduction, and the risk of hypoglycemia is low when it is used without insulin or sulfonylureas</w:t>
      </w:r>
      <w:r w:rsidR="004B5603" w:rsidRPr="004B5603">
        <w:rPr>
          <w:rFonts w:ascii="Times New Roman" w:hAnsi="Times New Roman" w:cs="Times New Roman"/>
          <w:sz w:val="24"/>
          <w:szCs w:val="24"/>
        </w:rPr>
        <w:t xml:space="preserve"> </w:t>
      </w:r>
      <w:r w:rsidRPr="00531E11">
        <w:rPr>
          <w:rFonts w:ascii="Times New Roman" w:hAnsi="Times New Roman" w:cs="Times New Roman"/>
          <w:sz w:val="24"/>
          <w:szCs w:val="24"/>
        </w:rPr>
        <w:t>(Cleveland Clinic,</w:t>
      </w:r>
      <w:r w:rsidR="00AC2026">
        <w:rPr>
          <w:rFonts w:ascii="Times New Roman" w:hAnsi="Times New Roman" w:cs="Times New Roman"/>
          <w:sz w:val="24"/>
          <w:szCs w:val="24"/>
        </w:rPr>
        <w:t>2022</w:t>
      </w:r>
      <w:r w:rsidRPr="00531E11">
        <w:rPr>
          <w:rFonts w:ascii="Times New Roman" w:hAnsi="Times New Roman" w:cs="Times New Roman"/>
          <w:sz w:val="24"/>
          <w:szCs w:val="24"/>
        </w:rPr>
        <w:t>).</w:t>
      </w:r>
    </w:p>
    <w:p w14:paraId="0C0BC339" w14:textId="6CEE84A9"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Absorption (</w:t>
      </w:r>
      <w:r w:rsidR="00531E11" w:rsidRPr="0038286B">
        <w:rPr>
          <w:rFonts w:ascii="Times New Roman" w:hAnsi="Times New Roman" w:cs="Times New Roman"/>
          <w:i/>
          <w:iCs/>
          <w:sz w:val="24"/>
          <w:szCs w:val="24"/>
        </w:rPr>
        <w:t>PK</w:t>
      </w:r>
      <w:r w:rsidRPr="0038286B">
        <w:rPr>
          <w:rFonts w:ascii="Times New Roman" w:hAnsi="Times New Roman" w:cs="Times New Roman"/>
          <w:i/>
          <w:iCs/>
          <w:sz w:val="24"/>
          <w:szCs w:val="24"/>
        </w:rPr>
        <w:t>)</w:t>
      </w:r>
      <w:r w:rsidRPr="00531E11">
        <w:rPr>
          <w:rFonts w:ascii="Times New Roman" w:hAnsi="Times New Roman" w:cs="Times New Roman"/>
          <w:sz w:val="24"/>
          <w:szCs w:val="24"/>
        </w:rPr>
        <w:t>: Absorbed after oral dosing with exposure that supports once-daily use (Boehringer Ingelheim Pharmaceuticals</w:t>
      </w:r>
      <w:r w:rsidR="00975454">
        <w:rPr>
          <w:rFonts w:ascii="Times New Roman" w:hAnsi="Times New Roman" w:cs="Times New Roman"/>
          <w:sz w:val="24"/>
          <w:szCs w:val="24"/>
        </w:rPr>
        <w:t xml:space="preserve"> [BIP]</w:t>
      </w:r>
      <w:r w:rsidRPr="00531E11">
        <w:rPr>
          <w:rFonts w:ascii="Times New Roman" w:hAnsi="Times New Roman" w:cs="Times New Roman"/>
          <w:sz w:val="24"/>
          <w:szCs w:val="24"/>
        </w:rPr>
        <w:t>, 202</w:t>
      </w:r>
      <w:r w:rsidR="00975454">
        <w:rPr>
          <w:rFonts w:ascii="Times New Roman" w:hAnsi="Times New Roman" w:cs="Times New Roman"/>
          <w:sz w:val="24"/>
          <w:szCs w:val="24"/>
        </w:rPr>
        <w:t>5</w:t>
      </w:r>
      <w:r w:rsidRPr="00531E11">
        <w:rPr>
          <w:rFonts w:ascii="Times New Roman" w:hAnsi="Times New Roman" w:cs="Times New Roman"/>
          <w:sz w:val="24"/>
          <w:szCs w:val="24"/>
        </w:rPr>
        <w:t>).</w:t>
      </w:r>
    </w:p>
    <w:p w14:paraId="3CD03F9D" w14:textId="0C6E69D4"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Distribution (</w:t>
      </w:r>
      <w:r w:rsidR="00531E11" w:rsidRPr="0038286B">
        <w:rPr>
          <w:rFonts w:ascii="Times New Roman" w:hAnsi="Times New Roman" w:cs="Times New Roman"/>
          <w:i/>
          <w:iCs/>
          <w:sz w:val="24"/>
          <w:szCs w:val="24"/>
        </w:rPr>
        <w:t>PK</w:t>
      </w:r>
      <w:r w:rsidRPr="0038286B">
        <w:rPr>
          <w:rFonts w:ascii="Times New Roman" w:hAnsi="Times New Roman" w:cs="Times New Roman"/>
          <w:i/>
          <w:iCs/>
          <w:sz w:val="24"/>
          <w:szCs w:val="24"/>
        </w:rPr>
        <w:t>)</w:t>
      </w:r>
      <w:r w:rsidRPr="00531E11">
        <w:rPr>
          <w:rFonts w:ascii="Times New Roman" w:hAnsi="Times New Roman" w:cs="Times New Roman"/>
          <w:sz w:val="24"/>
          <w:szCs w:val="24"/>
        </w:rPr>
        <w:t xml:space="preserve">: </w:t>
      </w:r>
      <w:r w:rsidR="009003B8" w:rsidRPr="009003B8">
        <w:rPr>
          <w:rFonts w:ascii="Times New Roman" w:hAnsi="Times New Roman" w:cs="Times New Roman"/>
          <w:sz w:val="24"/>
          <w:szCs w:val="24"/>
        </w:rPr>
        <w:t>Protein bound and distributed throughout the body</w:t>
      </w:r>
      <w:r w:rsidR="009003B8" w:rsidRPr="009003B8">
        <w:rPr>
          <w:rFonts w:ascii="Times New Roman" w:hAnsi="Times New Roman" w:cs="Times New Roman"/>
          <w:sz w:val="24"/>
          <w:szCs w:val="24"/>
        </w:rPr>
        <w:t xml:space="preserve"> </w:t>
      </w:r>
      <w:r w:rsidRPr="00531E11">
        <w:rPr>
          <w:rFonts w:ascii="Times New Roman" w:hAnsi="Times New Roman" w:cs="Times New Roman"/>
          <w:sz w:val="24"/>
          <w:szCs w:val="24"/>
        </w:rPr>
        <w:t>(</w:t>
      </w:r>
      <w:r w:rsidR="00215D4C" w:rsidRPr="00531E11">
        <w:rPr>
          <w:rFonts w:ascii="Times New Roman" w:hAnsi="Times New Roman" w:cs="Times New Roman"/>
          <w:sz w:val="24"/>
          <w:szCs w:val="24"/>
        </w:rPr>
        <w:t>Babiker &amp; Al Dubayee, 2017</w:t>
      </w:r>
      <w:r w:rsidRPr="00531E11">
        <w:rPr>
          <w:rFonts w:ascii="Times New Roman" w:hAnsi="Times New Roman" w:cs="Times New Roman"/>
          <w:sz w:val="24"/>
          <w:szCs w:val="24"/>
        </w:rPr>
        <w:t>).</w:t>
      </w:r>
    </w:p>
    <w:p w14:paraId="5C6D5CC3" w14:textId="4E15B5D6"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Metabolism (</w:t>
      </w:r>
      <w:r w:rsidR="00531E11" w:rsidRPr="0038286B">
        <w:rPr>
          <w:rFonts w:ascii="Times New Roman" w:hAnsi="Times New Roman" w:cs="Times New Roman"/>
          <w:i/>
          <w:iCs/>
          <w:sz w:val="24"/>
          <w:szCs w:val="24"/>
        </w:rPr>
        <w:t>PK</w:t>
      </w:r>
      <w:r w:rsidRPr="0038286B">
        <w:rPr>
          <w:rFonts w:ascii="Times New Roman" w:hAnsi="Times New Roman" w:cs="Times New Roman"/>
          <w:i/>
          <w:iCs/>
          <w:sz w:val="24"/>
          <w:szCs w:val="24"/>
        </w:rPr>
        <w:t>)</w:t>
      </w:r>
      <w:r w:rsidRPr="00531E11">
        <w:rPr>
          <w:rFonts w:ascii="Times New Roman" w:hAnsi="Times New Roman" w:cs="Times New Roman"/>
          <w:sz w:val="24"/>
          <w:szCs w:val="24"/>
        </w:rPr>
        <w:t xml:space="preserve">: </w:t>
      </w:r>
      <w:r w:rsidR="009155A6" w:rsidRPr="009155A6">
        <w:rPr>
          <w:rFonts w:ascii="Times New Roman" w:hAnsi="Times New Roman" w:cs="Times New Roman"/>
          <w:sz w:val="24"/>
          <w:szCs w:val="24"/>
        </w:rPr>
        <w:t>Metabolized primarily through the glucuronidation pathways instead of significant cytochrome P450 metabolism</w:t>
      </w:r>
      <w:r w:rsidR="009155A6" w:rsidRPr="009155A6">
        <w:rPr>
          <w:rFonts w:ascii="Times New Roman" w:hAnsi="Times New Roman" w:cs="Times New Roman"/>
          <w:sz w:val="24"/>
          <w:szCs w:val="24"/>
        </w:rPr>
        <w:t xml:space="preserve"> </w:t>
      </w:r>
      <w:r w:rsidRPr="00531E11">
        <w:rPr>
          <w:rFonts w:ascii="Times New Roman" w:hAnsi="Times New Roman" w:cs="Times New Roman"/>
          <w:sz w:val="24"/>
          <w:szCs w:val="24"/>
        </w:rPr>
        <w:t>(</w:t>
      </w:r>
      <w:r w:rsidR="00E8328A" w:rsidRPr="00E8328A">
        <w:rPr>
          <w:rFonts w:ascii="Times New Roman" w:hAnsi="Times New Roman" w:cs="Times New Roman"/>
          <w:sz w:val="24"/>
          <w:szCs w:val="24"/>
        </w:rPr>
        <w:t>BIP, 2025</w:t>
      </w:r>
      <w:r w:rsidRPr="00531E11">
        <w:rPr>
          <w:rFonts w:ascii="Times New Roman" w:hAnsi="Times New Roman" w:cs="Times New Roman"/>
          <w:sz w:val="24"/>
          <w:szCs w:val="24"/>
        </w:rPr>
        <w:t>).</w:t>
      </w:r>
    </w:p>
    <w:p w14:paraId="2C4BFAB8" w14:textId="0541F3F8" w:rsidR="00084D6F" w:rsidRPr="00531E11" w:rsidRDefault="00084D6F" w:rsidP="00531E11">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Excretion (</w:t>
      </w:r>
      <w:r w:rsidR="00531E11" w:rsidRPr="0038286B">
        <w:rPr>
          <w:rFonts w:ascii="Times New Roman" w:hAnsi="Times New Roman" w:cs="Times New Roman"/>
          <w:i/>
          <w:iCs/>
          <w:sz w:val="24"/>
          <w:szCs w:val="24"/>
        </w:rPr>
        <w:t>PK</w:t>
      </w:r>
      <w:r w:rsidRPr="0038286B">
        <w:rPr>
          <w:rFonts w:ascii="Times New Roman" w:hAnsi="Times New Roman" w:cs="Times New Roman"/>
          <w:i/>
          <w:iCs/>
          <w:sz w:val="24"/>
          <w:szCs w:val="24"/>
        </w:rPr>
        <w:t>)</w:t>
      </w:r>
      <w:r w:rsidRPr="00531E11">
        <w:rPr>
          <w:rFonts w:ascii="Times New Roman" w:hAnsi="Times New Roman" w:cs="Times New Roman"/>
          <w:sz w:val="24"/>
          <w:szCs w:val="24"/>
        </w:rPr>
        <w:t xml:space="preserve">: </w:t>
      </w:r>
      <w:r w:rsidR="008033EC" w:rsidRPr="008033EC">
        <w:rPr>
          <w:rFonts w:ascii="Times New Roman" w:hAnsi="Times New Roman" w:cs="Times New Roman"/>
          <w:sz w:val="24"/>
          <w:szCs w:val="24"/>
        </w:rPr>
        <w:t>Excreted in the urine and feces as parent drug and metabolites. Poor renal functioning decreases the glycemic effect and may elevate the possibility of kidney-related adverse events</w:t>
      </w:r>
      <w:r w:rsidR="008033EC" w:rsidRPr="008033EC">
        <w:rPr>
          <w:rFonts w:ascii="Times New Roman" w:hAnsi="Times New Roman" w:cs="Times New Roman"/>
          <w:sz w:val="24"/>
          <w:szCs w:val="24"/>
        </w:rPr>
        <w:t xml:space="preserve"> </w:t>
      </w:r>
      <w:r w:rsidRPr="00531E11">
        <w:rPr>
          <w:rFonts w:ascii="Times New Roman" w:hAnsi="Times New Roman" w:cs="Times New Roman"/>
          <w:sz w:val="24"/>
          <w:szCs w:val="24"/>
        </w:rPr>
        <w:t>(</w:t>
      </w:r>
      <w:r w:rsidR="00DB348D" w:rsidRPr="00DB348D">
        <w:rPr>
          <w:rFonts w:ascii="Times New Roman" w:hAnsi="Times New Roman" w:cs="Times New Roman"/>
          <w:sz w:val="24"/>
          <w:szCs w:val="24"/>
        </w:rPr>
        <w:t>Cleveland Clinic,2022</w:t>
      </w:r>
      <w:r w:rsidRPr="00531E11">
        <w:rPr>
          <w:rFonts w:ascii="Times New Roman" w:hAnsi="Times New Roman" w:cs="Times New Roman"/>
          <w:sz w:val="24"/>
          <w:szCs w:val="24"/>
        </w:rPr>
        <w:t>).</w:t>
      </w:r>
    </w:p>
    <w:p w14:paraId="3D285B2F" w14:textId="0BA0CA96" w:rsidR="00C53048" w:rsidRPr="001A74A6" w:rsidRDefault="00084D6F" w:rsidP="001A74A6">
      <w:pPr>
        <w:pStyle w:val="ListParagraph"/>
        <w:numPr>
          <w:ilvl w:val="0"/>
          <w:numId w:val="12"/>
        </w:numPr>
        <w:spacing w:after="0" w:line="480" w:lineRule="auto"/>
        <w:rPr>
          <w:rFonts w:ascii="Times New Roman" w:hAnsi="Times New Roman" w:cs="Times New Roman"/>
          <w:sz w:val="24"/>
          <w:szCs w:val="24"/>
        </w:rPr>
      </w:pPr>
      <w:r w:rsidRPr="0038286B">
        <w:rPr>
          <w:rFonts w:ascii="Times New Roman" w:hAnsi="Times New Roman" w:cs="Times New Roman"/>
          <w:i/>
          <w:iCs/>
          <w:sz w:val="24"/>
          <w:szCs w:val="24"/>
        </w:rPr>
        <w:t>Contraindications (safety)</w:t>
      </w:r>
      <w:r w:rsidRPr="00531E11">
        <w:rPr>
          <w:rFonts w:ascii="Times New Roman" w:hAnsi="Times New Roman" w:cs="Times New Roman"/>
          <w:sz w:val="24"/>
          <w:szCs w:val="24"/>
        </w:rPr>
        <w:t xml:space="preserve">: </w:t>
      </w:r>
      <w:r w:rsidR="001A74A6" w:rsidRPr="001A74A6">
        <w:rPr>
          <w:rFonts w:ascii="Times New Roman" w:hAnsi="Times New Roman" w:cs="Times New Roman"/>
          <w:sz w:val="24"/>
          <w:szCs w:val="24"/>
        </w:rPr>
        <w:t>Do not administer in end-stage renal disease or dialysis</w:t>
      </w:r>
      <w:r w:rsidR="00041F37" w:rsidRPr="001A74A6">
        <w:rPr>
          <w:rFonts w:ascii="Times New Roman" w:hAnsi="Times New Roman" w:cs="Times New Roman"/>
          <w:sz w:val="24"/>
          <w:szCs w:val="24"/>
        </w:rPr>
        <w:t>. It can increase genital yeast infections and urinary tract infections because more glucose passes into the urine</w:t>
      </w:r>
      <w:r w:rsidRPr="001A74A6">
        <w:rPr>
          <w:rFonts w:ascii="Times New Roman" w:hAnsi="Times New Roman" w:cs="Times New Roman"/>
          <w:sz w:val="24"/>
          <w:szCs w:val="24"/>
        </w:rPr>
        <w:t xml:space="preserve"> (Ganesan et al., 2023; Babiker &amp; Al Dubayee, 2017).</w:t>
      </w:r>
    </w:p>
    <w:p w14:paraId="503EE2FB" w14:textId="77777777" w:rsidR="00C53048" w:rsidRPr="00C53048" w:rsidRDefault="00C53048" w:rsidP="00797C7E">
      <w:pPr>
        <w:spacing w:after="0" w:line="480" w:lineRule="auto"/>
        <w:jc w:val="center"/>
        <w:rPr>
          <w:rFonts w:ascii="Times New Roman" w:hAnsi="Times New Roman" w:cs="Times New Roman"/>
          <w:b/>
          <w:bCs/>
          <w:sz w:val="24"/>
          <w:szCs w:val="24"/>
        </w:rPr>
      </w:pPr>
      <w:r w:rsidRPr="00C53048">
        <w:rPr>
          <w:rFonts w:ascii="Times New Roman" w:hAnsi="Times New Roman" w:cs="Times New Roman"/>
          <w:b/>
          <w:bCs/>
          <w:sz w:val="24"/>
          <w:szCs w:val="24"/>
        </w:rPr>
        <w:t>Emerging PD/PK-Driven Advances</w:t>
      </w:r>
    </w:p>
    <w:p w14:paraId="2E760159" w14:textId="2548A2CD" w:rsidR="00C53048" w:rsidRPr="00C53048" w:rsidRDefault="004A6B41" w:rsidP="00A91E33">
      <w:pPr>
        <w:spacing w:after="0" w:line="480" w:lineRule="auto"/>
        <w:ind w:firstLine="720"/>
        <w:rPr>
          <w:rFonts w:ascii="Times New Roman" w:hAnsi="Times New Roman" w:cs="Times New Roman"/>
          <w:sz w:val="24"/>
          <w:szCs w:val="24"/>
        </w:rPr>
      </w:pPr>
      <w:r w:rsidRPr="004A6B41">
        <w:rPr>
          <w:rFonts w:ascii="Times New Roman" w:hAnsi="Times New Roman" w:cs="Times New Roman"/>
          <w:sz w:val="24"/>
          <w:szCs w:val="24"/>
        </w:rPr>
        <w:t xml:space="preserve">Two newer developments related to pharmacodynamics and pharmacokinetics are dual incretin therapy and once-weekly insulin icodec. First, dual incretin therapy (such as tirzepatide) acts on two hormone pathways (glucose-dependent insulinotropic polypeptide and glucagon-like peptide 1) to promote glucose-dependent insulin secretion, suppress glucagon, and promote </w:t>
      </w:r>
      <w:r w:rsidRPr="004A6B41">
        <w:rPr>
          <w:rFonts w:ascii="Times New Roman" w:hAnsi="Times New Roman" w:cs="Times New Roman"/>
          <w:sz w:val="24"/>
          <w:szCs w:val="24"/>
        </w:rPr>
        <w:lastRenderedPageBreak/>
        <w:t xml:space="preserve">weight loss, which can lead to better blood sugar control with less hypoglycemia risk than sulfonylureas (Babiker &amp; Al Dubayee, 2017). It is designed for once weekly dosing as its mean half-life is around 5 days (Babiker &amp; Al Dubayee, 2017). Second, once weekly formulations are growing, including once weekly basal insulin formulations that have very long action profiles to keep insulin levels more stable throughout the week, which is a pharmacokinetic improvement that may lead to decreased injection burden and better adherence (Babiker &amp; Al Dubayee, 2017). It has a </w:t>
      </w:r>
      <w:r w:rsidR="00B84EA6" w:rsidRPr="004A6B41">
        <w:rPr>
          <w:rFonts w:ascii="Times New Roman" w:hAnsi="Times New Roman" w:cs="Times New Roman"/>
          <w:sz w:val="24"/>
          <w:szCs w:val="24"/>
        </w:rPr>
        <w:t>half-life</w:t>
      </w:r>
      <w:r w:rsidRPr="004A6B41">
        <w:rPr>
          <w:rFonts w:ascii="Times New Roman" w:hAnsi="Times New Roman" w:cs="Times New Roman"/>
          <w:sz w:val="24"/>
          <w:szCs w:val="24"/>
        </w:rPr>
        <w:t xml:space="preserve"> of approximately 196 hours. These advancements illustrate how newer drugs are designed to align with body physiology while simplifying dosing schedules</w:t>
      </w:r>
      <w:r w:rsidR="002E3C2B" w:rsidRPr="002E3C2B">
        <w:rPr>
          <w:rFonts w:ascii="Times New Roman" w:hAnsi="Times New Roman" w:cs="Times New Roman"/>
          <w:sz w:val="24"/>
          <w:szCs w:val="24"/>
        </w:rPr>
        <w:t>.</w:t>
      </w:r>
    </w:p>
    <w:p w14:paraId="001E7559" w14:textId="1FA53F8C" w:rsidR="00C53048" w:rsidRPr="00C53048" w:rsidRDefault="00C53048" w:rsidP="00C37B7D">
      <w:pPr>
        <w:spacing w:after="0" w:line="480" w:lineRule="auto"/>
        <w:jc w:val="center"/>
        <w:rPr>
          <w:rFonts w:ascii="Times New Roman" w:hAnsi="Times New Roman" w:cs="Times New Roman"/>
          <w:b/>
          <w:bCs/>
          <w:sz w:val="24"/>
          <w:szCs w:val="24"/>
        </w:rPr>
      </w:pPr>
      <w:r w:rsidRPr="00C53048">
        <w:rPr>
          <w:rFonts w:ascii="Times New Roman" w:hAnsi="Times New Roman" w:cs="Times New Roman"/>
          <w:b/>
          <w:bCs/>
          <w:sz w:val="24"/>
          <w:szCs w:val="24"/>
        </w:rPr>
        <w:t>CYP450 Chromosomes</w:t>
      </w:r>
    </w:p>
    <w:p w14:paraId="7ED4075A" w14:textId="663386E3" w:rsidR="00C53048" w:rsidRDefault="007C391E" w:rsidP="000605D3">
      <w:pPr>
        <w:spacing w:after="0" w:line="480" w:lineRule="auto"/>
        <w:ind w:firstLine="720"/>
        <w:rPr>
          <w:rFonts w:ascii="Times New Roman" w:hAnsi="Times New Roman" w:cs="Times New Roman"/>
          <w:sz w:val="24"/>
          <w:szCs w:val="24"/>
        </w:rPr>
      </w:pPr>
      <w:r w:rsidRPr="007C391E">
        <w:rPr>
          <w:rFonts w:ascii="Times New Roman" w:hAnsi="Times New Roman" w:cs="Times New Roman"/>
          <w:sz w:val="24"/>
          <w:szCs w:val="24"/>
        </w:rPr>
        <w:t>CYP450 enzymes are derived from the genes present in human chromosomes, and individuals can inherit varied versions of these genes (Zhao et al., 2021). These gene differences can cause someone to break down a drug slowly or quickly, which affects the level of the drug in the body. A slow breakdown can increase side effects and a fast breakdown can reduce the effect of the drug (Zhao et al., 2021). An example in diabetes care is sulfonylureas (glipizide), which can cause hypoglycemia (Babiker &amp; Al Dubayee, 2017). If a patient has a CYP450 gene type that causes a slower metabolic rate, the medication may remain in the patient's body for a longer period of time and pose a greater risk of hypoglycemia</w:t>
      </w:r>
      <w:r w:rsidR="00AA4922">
        <w:rPr>
          <w:rFonts w:ascii="Times New Roman" w:hAnsi="Times New Roman" w:cs="Times New Roman"/>
          <w:sz w:val="24"/>
          <w:szCs w:val="24"/>
        </w:rPr>
        <w:t>,</w:t>
      </w:r>
      <w:r w:rsidRPr="007C391E">
        <w:rPr>
          <w:rFonts w:ascii="Times New Roman" w:hAnsi="Times New Roman" w:cs="Times New Roman"/>
          <w:sz w:val="24"/>
          <w:szCs w:val="24"/>
        </w:rPr>
        <w:t xml:space="preserve"> so a clinician may opt to use a smaller dosage or to find a different class of medications (Zhao et al., 2021)</w:t>
      </w:r>
      <w:r w:rsidR="00C921C8" w:rsidRPr="00C921C8">
        <w:rPr>
          <w:rFonts w:ascii="Times New Roman" w:hAnsi="Times New Roman" w:cs="Times New Roman"/>
          <w:sz w:val="24"/>
          <w:szCs w:val="24"/>
        </w:rPr>
        <w:t>.</w:t>
      </w:r>
    </w:p>
    <w:p w14:paraId="5322A131" w14:textId="77777777" w:rsidR="001E657D" w:rsidRDefault="001E657D" w:rsidP="001E657D">
      <w:pPr>
        <w:spacing w:after="0" w:line="480" w:lineRule="auto"/>
        <w:rPr>
          <w:rFonts w:ascii="Times New Roman" w:hAnsi="Times New Roman" w:cs="Times New Roman"/>
          <w:sz w:val="24"/>
          <w:szCs w:val="24"/>
        </w:rPr>
      </w:pPr>
    </w:p>
    <w:p w14:paraId="69F936C7" w14:textId="77777777" w:rsidR="001E657D" w:rsidRDefault="001E657D" w:rsidP="001E657D">
      <w:pPr>
        <w:spacing w:after="0" w:line="480" w:lineRule="auto"/>
        <w:rPr>
          <w:rFonts w:ascii="Times New Roman" w:hAnsi="Times New Roman" w:cs="Times New Roman"/>
          <w:sz w:val="24"/>
          <w:szCs w:val="24"/>
        </w:rPr>
      </w:pPr>
    </w:p>
    <w:p w14:paraId="4EA31DFC" w14:textId="77777777" w:rsidR="001E657D" w:rsidRDefault="001E657D" w:rsidP="001E657D">
      <w:pPr>
        <w:spacing w:after="0" w:line="480" w:lineRule="auto"/>
        <w:rPr>
          <w:rFonts w:ascii="Times New Roman" w:hAnsi="Times New Roman" w:cs="Times New Roman"/>
          <w:sz w:val="24"/>
          <w:szCs w:val="24"/>
        </w:rPr>
      </w:pPr>
    </w:p>
    <w:p w14:paraId="4BD1C673" w14:textId="77777777" w:rsidR="001E657D" w:rsidRDefault="001E657D" w:rsidP="001E657D">
      <w:pPr>
        <w:spacing w:after="0" w:line="480" w:lineRule="auto"/>
        <w:rPr>
          <w:rFonts w:ascii="Times New Roman" w:hAnsi="Times New Roman" w:cs="Times New Roman"/>
          <w:sz w:val="24"/>
          <w:szCs w:val="24"/>
        </w:rPr>
      </w:pPr>
    </w:p>
    <w:p w14:paraId="0CCD992D" w14:textId="77777777" w:rsidR="001E657D" w:rsidRDefault="001E657D" w:rsidP="001E657D">
      <w:pPr>
        <w:spacing w:after="0" w:line="480" w:lineRule="auto"/>
        <w:rPr>
          <w:rFonts w:ascii="Times New Roman" w:hAnsi="Times New Roman" w:cs="Times New Roman"/>
          <w:sz w:val="24"/>
          <w:szCs w:val="24"/>
        </w:rPr>
      </w:pPr>
    </w:p>
    <w:p w14:paraId="55A638D2" w14:textId="77777777" w:rsidR="001E657D" w:rsidRDefault="001E657D" w:rsidP="001E657D">
      <w:pPr>
        <w:spacing w:after="0" w:line="480" w:lineRule="auto"/>
        <w:rPr>
          <w:rFonts w:ascii="Times New Roman" w:hAnsi="Times New Roman" w:cs="Times New Roman"/>
          <w:sz w:val="24"/>
          <w:szCs w:val="24"/>
        </w:rPr>
      </w:pPr>
    </w:p>
    <w:p w14:paraId="4C401086" w14:textId="77777777" w:rsidR="001E657D" w:rsidRPr="00C53048" w:rsidRDefault="001E657D" w:rsidP="001E657D">
      <w:pPr>
        <w:spacing w:after="0" w:line="480" w:lineRule="auto"/>
        <w:rPr>
          <w:rFonts w:ascii="Times New Roman" w:hAnsi="Times New Roman" w:cs="Times New Roman"/>
          <w:sz w:val="24"/>
          <w:szCs w:val="24"/>
        </w:rPr>
      </w:pPr>
    </w:p>
    <w:p w14:paraId="272B0F51" w14:textId="4135EE8D" w:rsidR="00C53048" w:rsidRPr="00C53048" w:rsidRDefault="00C53048" w:rsidP="00C607DF">
      <w:pPr>
        <w:spacing w:after="0" w:line="480" w:lineRule="auto"/>
        <w:jc w:val="center"/>
        <w:rPr>
          <w:rFonts w:ascii="Times New Roman" w:hAnsi="Times New Roman" w:cs="Times New Roman"/>
          <w:b/>
          <w:bCs/>
          <w:sz w:val="24"/>
          <w:szCs w:val="24"/>
        </w:rPr>
      </w:pPr>
      <w:r w:rsidRPr="00C53048">
        <w:rPr>
          <w:rFonts w:ascii="Times New Roman" w:hAnsi="Times New Roman" w:cs="Times New Roman"/>
          <w:b/>
          <w:bCs/>
          <w:sz w:val="24"/>
          <w:szCs w:val="24"/>
        </w:rPr>
        <w:t>References</w:t>
      </w:r>
    </w:p>
    <w:p w14:paraId="27034C05" w14:textId="5DCCC11E" w:rsidR="000F15CD" w:rsidRPr="001E657D" w:rsidRDefault="000F15CD" w:rsidP="001060BC">
      <w:pPr>
        <w:spacing w:after="0" w:line="480" w:lineRule="auto"/>
        <w:ind w:left="720" w:hanging="720"/>
        <w:rPr>
          <w:rFonts w:ascii="Times New Roman" w:hAnsi="Times New Roman" w:cs="Times New Roman"/>
          <w:sz w:val="24"/>
          <w:szCs w:val="24"/>
        </w:rPr>
      </w:pPr>
      <w:r w:rsidRPr="001E657D">
        <w:rPr>
          <w:rFonts w:ascii="Times New Roman" w:hAnsi="Times New Roman" w:cs="Times New Roman"/>
          <w:sz w:val="24"/>
          <w:szCs w:val="24"/>
        </w:rPr>
        <w:t xml:space="preserve">Babiker, A., &amp; Al Dubayee, M. (2017). Anti-diabetic medications: How to make a </w:t>
      </w:r>
      <w:r w:rsidR="001E657D" w:rsidRPr="001E657D">
        <w:rPr>
          <w:rFonts w:ascii="Times New Roman" w:hAnsi="Times New Roman" w:cs="Times New Roman"/>
          <w:sz w:val="24"/>
          <w:szCs w:val="24"/>
        </w:rPr>
        <w:t>choice?</w:t>
      </w:r>
      <w:r w:rsidRPr="001E657D">
        <w:rPr>
          <w:rFonts w:ascii="Times New Roman" w:hAnsi="Times New Roman" w:cs="Times New Roman"/>
          <w:sz w:val="24"/>
          <w:szCs w:val="24"/>
        </w:rPr>
        <w:t> </w:t>
      </w:r>
      <w:r w:rsidRPr="001E657D">
        <w:rPr>
          <w:rFonts w:ascii="Times New Roman" w:hAnsi="Times New Roman" w:cs="Times New Roman"/>
          <w:i/>
          <w:iCs/>
          <w:sz w:val="24"/>
          <w:szCs w:val="24"/>
        </w:rPr>
        <w:t>Sudanese journal of paediatrics</w:t>
      </w:r>
      <w:r w:rsidRPr="001E657D">
        <w:rPr>
          <w:rFonts w:ascii="Times New Roman" w:hAnsi="Times New Roman" w:cs="Times New Roman"/>
          <w:sz w:val="24"/>
          <w:szCs w:val="24"/>
        </w:rPr>
        <w:t>, </w:t>
      </w:r>
      <w:r w:rsidRPr="001E657D">
        <w:rPr>
          <w:rFonts w:ascii="Times New Roman" w:hAnsi="Times New Roman" w:cs="Times New Roman"/>
          <w:i/>
          <w:iCs/>
          <w:sz w:val="24"/>
          <w:szCs w:val="24"/>
        </w:rPr>
        <w:t>17</w:t>
      </w:r>
      <w:r w:rsidRPr="001E657D">
        <w:rPr>
          <w:rFonts w:ascii="Times New Roman" w:hAnsi="Times New Roman" w:cs="Times New Roman"/>
          <w:sz w:val="24"/>
          <w:szCs w:val="24"/>
        </w:rPr>
        <w:t>(2), 11.</w:t>
      </w:r>
    </w:p>
    <w:p w14:paraId="4488362E" w14:textId="77777777" w:rsidR="000F15CD" w:rsidRPr="001E657D" w:rsidRDefault="000F15CD" w:rsidP="00AE4081">
      <w:pPr>
        <w:spacing w:after="0" w:line="480" w:lineRule="auto"/>
        <w:ind w:left="720" w:hanging="720"/>
        <w:rPr>
          <w:rFonts w:ascii="Times New Roman" w:hAnsi="Times New Roman" w:cs="Times New Roman"/>
          <w:sz w:val="24"/>
          <w:szCs w:val="24"/>
        </w:rPr>
      </w:pPr>
      <w:r w:rsidRPr="00AE4081">
        <w:rPr>
          <w:rFonts w:ascii="Times New Roman" w:hAnsi="Times New Roman" w:cs="Times New Roman"/>
          <w:sz w:val="24"/>
          <w:szCs w:val="24"/>
        </w:rPr>
        <w:t>Boehringer Ingelheim Pharmaceuticals, Inc. (202</w:t>
      </w:r>
      <w:r w:rsidRPr="001E657D">
        <w:rPr>
          <w:rFonts w:ascii="Times New Roman" w:hAnsi="Times New Roman" w:cs="Times New Roman"/>
          <w:sz w:val="24"/>
          <w:szCs w:val="24"/>
        </w:rPr>
        <w:t>5</w:t>
      </w:r>
      <w:r w:rsidRPr="00AE4081">
        <w:rPr>
          <w:rFonts w:ascii="Times New Roman" w:hAnsi="Times New Roman" w:cs="Times New Roman"/>
          <w:sz w:val="24"/>
          <w:szCs w:val="24"/>
        </w:rPr>
        <w:t xml:space="preserve">). </w:t>
      </w:r>
      <w:r w:rsidRPr="001E657D">
        <w:rPr>
          <w:rFonts w:ascii="Times New Roman" w:hAnsi="Times New Roman" w:cs="Times New Roman"/>
          <w:sz w:val="24"/>
          <w:szCs w:val="24"/>
        </w:rPr>
        <w:t>Jardiance US Prescribing Information</w:t>
      </w:r>
      <w:r w:rsidRPr="00AE4081">
        <w:rPr>
          <w:rFonts w:ascii="Times New Roman" w:hAnsi="Times New Roman" w:cs="Times New Roman"/>
          <w:sz w:val="24"/>
          <w:szCs w:val="24"/>
        </w:rPr>
        <w:t>.</w:t>
      </w:r>
      <w:r w:rsidRPr="001E657D">
        <w:rPr>
          <w:rFonts w:ascii="Times New Roman" w:hAnsi="Times New Roman" w:cs="Times New Roman"/>
          <w:sz w:val="24"/>
          <w:szCs w:val="24"/>
        </w:rPr>
        <w:t xml:space="preserve"> </w:t>
      </w:r>
      <w:hyperlink r:id="rId7" w:history="1">
        <w:r w:rsidRPr="001E657D">
          <w:rPr>
            <w:rStyle w:val="Hyperlink"/>
            <w:rFonts w:ascii="Times New Roman" w:hAnsi="Times New Roman" w:cs="Times New Roman"/>
            <w:color w:val="auto"/>
            <w:sz w:val="24"/>
            <w:szCs w:val="24"/>
          </w:rPr>
          <w:t>https://pro.boehringer-ingelheim.com/us/products/jardiance/bipdf/jardiance-us-prescribing-information</w:t>
        </w:r>
      </w:hyperlink>
    </w:p>
    <w:p w14:paraId="38935ECC" w14:textId="77777777" w:rsidR="000F15CD" w:rsidRPr="001E657D" w:rsidRDefault="000F15CD" w:rsidP="00EC3C1C">
      <w:pPr>
        <w:spacing w:after="0" w:line="480" w:lineRule="auto"/>
        <w:ind w:left="720" w:hanging="720"/>
        <w:rPr>
          <w:rFonts w:ascii="Times New Roman" w:hAnsi="Times New Roman" w:cs="Times New Roman"/>
          <w:sz w:val="24"/>
          <w:szCs w:val="24"/>
        </w:rPr>
      </w:pPr>
      <w:r w:rsidRPr="00EC3C1C">
        <w:rPr>
          <w:rFonts w:ascii="Times New Roman" w:hAnsi="Times New Roman" w:cs="Times New Roman"/>
          <w:sz w:val="24"/>
          <w:szCs w:val="24"/>
        </w:rPr>
        <w:t>Cleveland Clinic. (</w:t>
      </w:r>
      <w:r w:rsidRPr="001E657D">
        <w:rPr>
          <w:rFonts w:ascii="Times New Roman" w:hAnsi="Times New Roman" w:cs="Times New Roman"/>
          <w:sz w:val="24"/>
          <w:szCs w:val="24"/>
        </w:rPr>
        <w:t>2022</w:t>
      </w:r>
      <w:r w:rsidRPr="00EC3C1C">
        <w:rPr>
          <w:rFonts w:ascii="Times New Roman" w:hAnsi="Times New Roman" w:cs="Times New Roman"/>
          <w:sz w:val="24"/>
          <w:szCs w:val="24"/>
        </w:rPr>
        <w:t xml:space="preserve">). </w:t>
      </w:r>
      <w:r w:rsidRPr="00EC3C1C">
        <w:rPr>
          <w:rFonts w:ascii="Times New Roman" w:hAnsi="Times New Roman" w:cs="Times New Roman"/>
          <w:i/>
          <w:iCs/>
          <w:sz w:val="24"/>
          <w:szCs w:val="24"/>
        </w:rPr>
        <w:t>Oral diabetes medications</w:t>
      </w:r>
      <w:r w:rsidRPr="00EC3C1C">
        <w:rPr>
          <w:rFonts w:ascii="Times New Roman" w:hAnsi="Times New Roman" w:cs="Times New Roman"/>
          <w:sz w:val="24"/>
          <w:szCs w:val="24"/>
        </w:rPr>
        <w:t xml:space="preserve">. </w:t>
      </w:r>
      <w:hyperlink r:id="rId8" w:history="1">
        <w:r w:rsidRPr="001E657D">
          <w:rPr>
            <w:rStyle w:val="Hyperlink"/>
            <w:rFonts w:ascii="Times New Roman" w:hAnsi="Times New Roman" w:cs="Times New Roman"/>
            <w:color w:val="auto"/>
            <w:sz w:val="24"/>
            <w:szCs w:val="24"/>
          </w:rPr>
          <w:t>https://my.clevelandclinic.org/health/articles/12070-oral-diabetes-medications</w:t>
        </w:r>
      </w:hyperlink>
    </w:p>
    <w:p w14:paraId="08A89B05" w14:textId="77777777" w:rsidR="000F15CD" w:rsidRPr="001E657D" w:rsidRDefault="000F15CD" w:rsidP="00BB73F4">
      <w:pPr>
        <w:spacing w:after="0" w:line="480" w:lineRule="auto"/>
        <w:ind w:left="720" w:hanging="720"/>
        <w:rPr>
          <w:rFonts w:ascii="Times New Roman" w:hAnsi="Times New Roman" w:cs="Times New Roman"/>
          <w:sz w:val="24"/>
          <w:szCs w:val="24"/>
        </w:rPr>
      </w:pPr>
      <w:r w:rsidRPr="00BB73F4">
        <w:rPr>
          <w:rFonts w:ascii="Times New Roman" w:hAnsi="Times New Roman" w:cs="Times New Roman"/>
          <w:sz w:val="24"/>
          <w:szCs w:val="24"/>
        </w:rPr>
        <w:t xml:space="preserve">Drugs.com. (n.d.). </w:t>
      </w:r>
      <w:r w:rsidRPr="00BB73F4">
        <w:rPr>
          <w:rFonts w:ascii="Times New Roman" w:hAnsi="Times New Roman" w:cs="Times New Roman"/>
          <w:i/>
          <w:iCs/>
          <w:sz w:val="24"/>
          <w:szCs w:val="24"/>
        </w:rPr>
        <w:t>Antidiabetic agents</w:t>
      </w:r>
      <w:r w:rsidRPr="00BB73F4">
        <w:rPr>
          <w:rFonts w:ascii="Times New Roman" w:hAnsi="Times New Roman" w:cs="Times New Roman"/>
          <w:sz w:val="24"/>
          <w:szCs w:val="24"/>
        </w:rPr>
        <w:t xml:space="preserve">. </w:t>
      </w:r>
      <w:hyperlink r:id="rId9" w:tgtFrame="_new" w:history="1">
        <w:r w:rsidRPr="00BB73F4">
          <w:rPr>
            <w:rStyle w:val="Hyperlink"/>
            <w:rFonts w:ascii="Times New Roman" w:hAnsi="Times New Roman" w:cs="Times New Roman"/>
            <w:color w:val="auto"/>
            <w:sz w:val="24"/>
            <w:szCs w:val="24"/>
          </w:rPr>
          <w:t>https://www.drugs.com/drug-class/antidiabetic-agents.html</w:t>
        </w:r>
      </w:hyperlink>
    </w:p>
    <w:p w14:paraId="474FB94D" w14:textId="77777777" w:rsidR="000F15CD" w:rsidRPr="001E657D" w:rsidRDefault="000F15CD" w:rsidP="00EC3C1C">
      <w:pPr>
        <w:spacing w:after="0" w:line="480" w:lineRule="auto"/>
        <w:ind w:left="720" w:hanging="720"/>
        <w:rPr>
          <w:rFonts w:ascii="Times New Roman" w:hAnsi="Times New Roman" w:cs="Times New Roman"/>
          <w:sz w:val="24"/>
          <w:szCs w:val="24"/>
        </w:rPr>
      </w:pPr>
      <w:r w:rsidRPr="001E657D">
        <w:rPr>
          <w:rFonts w:ascii="Times New Roman" w:hAnsi="Times New Roman" w:cs="Times New Roman"/>
          <w:sz w:val="24"/>
          <w:szCs w:val="24"/>
        </w:rPr>
        <w:t xml:space="preserve">Ganesan, K., Rana, M.B.M., Sultan, S. </w:t>
      </w:r>
      <w:r w:rsidRPr="00EC3C1C">
        <w:rPr>
          <w:rFonts w:ascii="Times New Roman" w:hAnsi="Times New Roman" w:cs="Times New Roman"/>
          <w:sz w:val="24"/>
          <w:szCs w:val="24"/>
        </w:rPr>
        <w:t xml:space="preserve">(2023). </w:t>
      </w:r>
      <w:r w:rsidRPr="001E657D">
        <w:rPr>
          <w:rFonts w:ascii="Times New Roman" w:hAnsi="Times New Roman" w:cs="Times New Roman"/>
          <w:sz w:val="24"/>
          <w:szCs w:val="24"/>
        </w:rPr>
        <w:t xml:space="preserve">Oral Hypoglycemic Medications. [Updated 2023 May 1]. In: StatPearls [Internet]. Treasure Island (FL): StatPearls Publishing; 2025 Jan-. Available from: </w:t>
      </w:r>
      <w:hyperlink r:id="rId10" w:history="1">
        <w:r w:rsidRPr="001E657D">
          <w:rPr>
            <w:rStyle w:val="Hyperlink"/>
            <w:rFonts w:ascii="Times New Roman" w:hAnsi="Times New Roman" w:cs="Times New Roman"/>
            <w:color w:val="auto"/>
            <w:sz w:val="24"/>
            <w:szCs w:val="24"/>
          </w:rPr>
          <w:t>https://www.ncbi.nlm.nih.gov/books/NBK482386/</w:t>
        </w:r>
      </w:hyperlink>
    </w:p>
    <w:p w14:paraId="58849870" w14:textId="77777777" w:rsidR="000F15CD" w:rsidRPr="001E657D" w:rsidRDefault="000F15CD" w:rsidP="00944FC2">
      <w:pPr>
        <w:spacing w:after="0" w:line="480" w:lineRule="auto"/>
        <w:ind w:left="720" w:hanging="720"/>
        <w:rPr>
          <w:rFonts w:ascii="Times New Roman" w:hAnsi="Times New Roman" w:cs="Times New Roman"/>
          <w:sz w:val="24"/>
          <w:szCs w:val="24"/>
        </w:rPr>
      </w:pPr>
      <w:r w:rsidRPr="00944FC2">
        <w:rPr>
          <w:rFonts w:ascii="Times New Roman" w:hAnsi="Times New Roman" w:cs="Times New Roman"/>
          <w:sz w:val="24"/>
          <w:szCs w:val="24"/>
        </w:rPr>
        <w:t xml:space="preserve">U.S. Food and Drug Administration. (2017). </w:t>
      </w:r>
      <w:r w:rsidRPr="00944FC2">
        <w:rPr>
          <w:rFonts w:ascii="Times New Roman" w:hAnsi="Times New Roman" w:cs="Times New Roman"/>
          <w:i/>
          <w:iCs/>
          <w:sz w:val="24"/>
          <w:szCs w:val="24"/>
        </w:rPr>
        <w:t>Glucophage (metformin hydrochloride) tablets: Prescribing information</w:t>
      </w:r>
      <w:r w:rsidRPr="00944FC2">
        <w:rPr>
          <w:rFonts w:ascii="Times New Roman" w:hAnsi="Times New Roman" w:cs="Times New Roman"/>
          <w:sz w:val="24"/>
          <w:szCs w:val="24"/>
        </w:rPr>
        <w:t>.</w:t>
      </w:r>
      <w:r w:rsidRPr="001E657D">
        <w:rPr>
          <w:rFonts w:ascii="Times New Roman" w:hAnsi="Times New Roman" w:cs="Times New Roman"/>
          <w:sz w:val="24"/>
          <w:szCs w:val="24"/>
        </w:rPr>
        <w:t xml:space="preserve"> </w:t>
      </w:r>
      <w:hyperlink r:id="rId11" w:history="1">
        <w:r w:rsidRPr="001E657D">
          <w:rPr>
            <w:rStyle w:val="Hyperlink"/>
            <w:rFonts w:ascii="Times New Roman" w:hAnsi="Times New Roman" w:cs="Times New Roman"/>
            <w:color w:val="auto"/>
            <w:sz w:val="24"/>
            <w:szCs w:val="24"/>
          </w:rPr>
          <w:t>https://www.accessdata.fda.gov/drugsatfda_docs/label/2017/020357s037s039,021202s021s023lbl.pdf</w:t>
        </w:r>
      </w:hyperlink>
    </w:p>
    <w:p w14:paraId="71D8D5E1" w14:textId="77777777" w:rsidR="000F15CD" w:rsidRPr="001E657D" w:rsidRDefault="000F15CD" w:rsidP="00944FC2">
      <w:pPr>
        <w:spacing w:after="0" w:line="480" w:lineRule="auto"/>
        <w:ind w:left="720" w:hanging="720"/>
        <w:rPr>
          <w:rFonts w:ascii="Times New Roman" w:hAnsi="Times New Roman" w:cs="Times New Roman"/>
          <w:sz w:val="24"/>
          <w:szCs w:val="24"/>
        </w:rPr>
      </w:pPr>
      <w:r w:rsidRPr="00944FC2">
        <w:rPr>
          <w:rFonts w:ascii="Times New Roman" w:hAnsi="Times New Roman" w:cs="Times New Roman"/>
          <w:sz w:val="24"/>
          <w:szCs w:val="24"/>
        </w:rPr>
        <w:t xml:space="preserve">U.S. Food and Drug Administration. (2018). </w:t>
      </w:r>
      <w:r w:rsidRPr="00944FC2">
        <w:rPr>
          <w:rFonts w:ascii="Times New Roman" w:hAnsi="Times New Roman" w:cs="Times New Roman"/>
          <w:i/>
          <w:iCs/>
          <w:sz w:val="24"/>
          <w:szCs w:val="24"/>
        </w:rPr>
        <w:t>Glucotrol (glipizide) tablets: Prescribing information</w:t>
      </w:r>
      <w:r w:rsidRPr="00944FC2">
        <w:rPr>
          <w:rFonts w:ascii="Times New Roman" w:hAnsi="Times New Roman" w:cs="Times New Roman"/>
          <w:sz w:val="24"/>
          <w:szCs w:val="24"/>
        </w:rPr>
        <w:t>.</w:t>
      </w:r>
      <w:r w:rsidRPr="001E657D">
        <w:rPr>
          <w:rFonts w:ascii="Times New Roman" w:hAnsi="Times New Roman" w:cs="Times New Roman"/>
          <w:sz w:val="24"/>
          <w:szCs w:val="24"/>
        </w:rPr>
        <w:t xml:space="preserve"> </w:t>
      </w:r>
      <w:hyperlink r:id="rId12" w:history="1">
        <w:r w:rsidRPr="001E657D">
          <w:rPr>
            <w:rStyle w:val="Hyperlink"/>
            <w:rFonts w:ascii="Times New Roman" w:hAnsi="Times New Roman" w:cs="Times New Roman"/>
            <w:color w:val="auto"/>
            <w:sz w:val="24"/>
            <w:szCs w:val="24"/>
          </w:rPr>
          <w:t>https://www.accessdata.fda.gov/drugsatfda_docs/label/2021/020329Orig1s035lbl.pdf</w:t>
        </w:r>
      </w:hyperlink>
    </w:p>
    <w:p w14:paraId="269206BC" w14:textId="77777777" w:rsidR="000F15CD" w:rsidRPr="001E657D" w:rsidRDefault="000F15CD" w:rsidP="00D35840">
      <w:pPr>
        <w:spacing w:after="0" w:line="480" w:lineRule="auto"/>
        <w:ind w:left="720" w:hanging="720"/>
        <w:rPr>
          <w:rFonts w:ascii="Times New Roman" w:hAnsi="Times New Roman" w:cs="Times New Roman"/>
          <w:sz w:val="24"/>
          <w:szCs w:val="24"/>
        </w:rPr>
      </w:pPr>
      <w:r w:rsidRPr="00944FC2">
        <w:rPr>
          <w:rFonts w:ascii="Times New Roman" w:hAnsi="Times New Roman" w:cs="Times New Roman"/>
          <w:sz w:val="24"/>
          <w:szCs w:val="24"/>
        </w:rPr>
        <w:lastRenderedPageBreak/>
        <w:t xml:space="preserve">U.S. Food and Drug Administration. (2022). </w:t>
      </w:r>
      <w:r w:rsidRPr="00944FC2">
        <w:rPr>
          <w:rFonts w:ascii="Times New Roman" w:hAnsi="Times New Roman" w:cs="Times New Roman"/>
          <w:i/>
          <w:iCs/>
          <w:sz w:val="24"/>
          <w:szCs w:val="24"/>
        </w:rPr>
        <w:t>Januvia (sitagliptin) tablets: Prescribing informatio</w:t>
      </w:r>
      <w:r w:rsidRPr="001E657D">
        <w:rPr>
          <w:rFonts w:ascii="Times New Roman" w:hAnsi="Times New Roman" w:cs="Times New Roman"/>
          <w:i/>
          <w:iCs/>
          <w:sz w:val="24"/>
          <w:szCs w:val="24"/>
        </w:rPr>
        <w:t xml:space="preserve">n </w:t>
      </w:r>
      <w:hyperlink r:id="rId13" w:history="1">
        <w:r w:rsidRPr="001E657D">
          <w:rPr>
            <w:rStyle w:val="Hyperlink"/>
            <w:rFonts w:ascii="Times New Roman" w:hAnsi="Times New Roman" w:cs="Times New Roman"/>
            <w:color w:val="auto"/>
            <w:sz w:val="24"/>
            <w:szCs w:val="24"/>
          </w:rPr>
          <w:t>https://www.accessdata.fda.gov/drugsatfda_docs/label/2012/021995s019lbl.pdf</w:t>
        </w:r>
      </w:hyperlink>
    </w:p>
    <w:p w14:paraId="4B1926A6" w14:textId="77777777" w:rsidR="000F15CD" w:rsidRPr="001E657D" w:rsidRDefault="000F15CD" w:rsidP="000F15CD">
      <w:pPr>
        <w:spacing w:after="0" w:line="480" w:lineRule="auto"/>
        <w:ind w:left="720" w:hanging="720"/>
        <w:rPr>
          <w:rFonts w:ascii="Times New Roman" w:hAnsi="Times New Roman" w:cs="Times New Roman"/>
          <w:sz w:val="24"/>
          <w:szCs w:val="24"/>
        </w:rPr>
      </w:pPr>
      <w:r w:rsidRPr="001D6A14">
        <w:rPr>
          <w:rFonts w:ascii="Times New Roman" w:hAnsi="Times New Roman" w:cs="Times New Roman"/>
          <w:sz w:val="24"/>
          <w:szCs w:val="24"/>
        </w:rPr>
        <w:t xml:space="preserve">Zhao, M., Ma, J., Li, M., Zhang, Y., Jiang, B., Zhao, X., Huai, C., Shen, L., Zhang, N., He, L., &amp; Qin, S. (2021). Cytochrome P450 enzymes and drug metabolism in humans. </w:t>
      </w:r>
      <w:r w:rsidRPr="001D6A14">
        <w:rPr>
          <w:rFonts w:ascii="Times New Roman" w:hAnsi="Times New Roman" w:cs="Times New Roman"/>
          <w:i/>
          <w:iCs/>
          <w:sz w:val="24"/>
          <w:szCs w:val="24"/>
        </w:rPr>
        <w:t>International Journal of Molecular Sciences, 22</w:t>
      </w:r>
      <w:r w:rsidRPr="001D6A14">
        <w:rPr>
          <w:rFonts w:ascii="Times New Roman" w:hAnsi="Times New Roman" w:cs="Times New Roman"/>
          <w:sz w:val="24"/>
          <w:szCs w:val="24"/>
        </w:rPr>
        <w:t xml:space="preserve">(23), 12808. </w:t>
      </w:r>
      <w:hyperlink r:id="rId14" w:tgtFrame="_new" w:history="1">
        <w:r w:rsidRPr="001D6A14">
          <w:rPr>
            <w:rStyle w:val="Hyperlink"/>
            <w:rFonts w:ascii="Times New Roman" w:hAnsi="Times New Roman" w:cs="Times New Roman"/>
            <w:color w:val="auto"/>
            <w:sz w:val="24"/>
            <w:szCs w:val="24"/>
          </w:rPr>
          <w:t>https://doi.org/10.3390/ijms222312808</w:t>
        </w:r>
      </w:hyperlink>
    </w:p>
    <w:sectPr w:rsidR="000F15CD" w:rsidRPr="001E657D">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BFB42" w14:textId="77777777" w:rsidR="002C104D" w:rsidRDefault="002C104D" w:rsidP="00322718">
      <w:pPr>
        <w:spacing w:after="0" w:line="240" w:lineRule="auto"/>
      </w:pPr>
      <w:r>
        <w:separator/>
      </w:r>
    </w:p>
  </w:endnote>
  <w:endnote w:type="continuationSeparator" w:id="0">
    <w:p w14:paraId="542072CB" w14:textId="77777777" w:rsidR="002C104D" w:rsidRDefault="002C104D" w:rsidP="00322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E1D69" w14:textId="77777777" w:rsidR="002C104D" w:rsidRDefault="002C104D" w:rsidP="00322718">
      <w:pPr>
        <w:spacing w:after="0" w:line="240" w:lineRule="auto"/>
      </w:pPr>
      <w:r>
        <w:separator/>
      </w:r>
    </w:p>
  </w:footnote>
  <w:footnote w:type="continuationSeparator" w:id="0">
    <w:p w14:paraId="257FDFA2" w14:textId="77777777" w:rsidR="002C104D" w:rsidRDefault="002C104D" w:rsidP="00322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263689"/>
      <w:docPartObj>
        <w:docPartGallery w:val="Page Numbers (Top of Page)"/>
        <w:docPartUnique/>
      </w:docPartObj>
    </w:sdtPr>
    <w:sdtEndPr>
      <w:rPr>
        <w:noProof/>
      </w:rPr>
    </w:sdtEndPr>
    <w:sdtContent>
      <w:p w14:paraId="2903827C" w14:textId="32DA9524" w:rsidR="00322718" w:rsidRDefault="003227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F574C9" w14:textId="77777777" w:rsidR="00322718" w:rsidRDefault="003227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67141"/>
    <w:multiLevelType w:val="multilevel"/>
    <w:tmpl w:val="258A8E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E3C92"/>
    <w:multiLevelType w:val="hybridMultilevel"/>
    <w:tmpl w:val="F0F0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DF7D6E"/>
    <w:multiLevelType w:val="hybridMultilevel"/>
    <w:tmpl w:val="518E3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382A3F"/>
    <w:multiLevelType w:val="hybridMultilevel"/>
    <w:tmpl w:val="FB6638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2172F"/>
    <w:multiLevelType w:val="hybridMultilevel"/>
    <w:tmpl w:val="C86698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B352E2"/>
    <w:multiLevelType w:val="multilevel"/>
    <w:tmpl w:val="CCE0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170BC"/>
    <w:multiLevelType w:val="multilevel"/>
    <w:tmpl w:val="45C0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374994"/>
    <w:multiLevelType w:val="multilevel"/>
    <w:tmpl w:val="258A8E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920CD"/>
    <w:multiLevelType w:val="hybridMultilevel"/>
    <w:tmpl w:val="1CAEBC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76F68"/>
    <w:multiLevelType w:val="multilevel"/>
    <w:tmpl w:val="9528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66564A"/>
    <w:multiLevelType w:val="hybridMultilevel"/>
    <w:tmpl w:val="0CF8C5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E02CB2"/>
    <w:multiLevelType w:val="multilevel"/>
    <w:tmpl w:val="E0281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921190">
    <w:abstractNumId w:val="5"/>
  </w:num>
  <w:num w:numId="2" w16cid:durableId="245382063">
    <w:abstractNumId w:val="6"/>
  </w:num>
  <w:num w:numId="3" w16cid:durableId="1852335123">
    <w:abstractNumId w:val="11"/>
  </w:num>
  <w:num w:numId="4" w16cid:durableId="2096322380">
    <w:abstractNumId w:val="9"/>
  </w:num>
  <w:num w:numId="5" w16cid:durableId="832988651">
    <w:abstractNumId w:val="0"/>
  </w:num>
  <w:num w:numId="6" w16cid:durableId="1725832990">
    <w:abstractNumId w:val="10"/>
  </w:num>
  <w:num w:numId="7" w16cid:durableId="1324697859">
    <w:abstractNumId w:val="2"/>
  </w:num>
  <w:num w:numId="8" w16cid:durableId="805051581">
    <w:abstractNumId w:val="1"/>
  </w:num>
  <w:num w:numId="9" w16cid:durableId="653685018">
    <w:abstractNumId w:val="4"/>
  </w:num>
  <w:num w:numId="10" w16cid:durableId="1344942895">
    <w:abstractNumId w:val="7"/>
  </w:num>
  <w:num w:numId="11" w16cid:durableId="1312324742">
    <w:abstractNumId w:val="8"/>
  </w:num>
  <w:num w:numId="12" w16cid:durableId="1956864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48"/>
    <w:rsid w:val="000037AD"/>
    <w:rsid w:val="00041F37"/>
    <w:rsid w:val="000605D3"/>
    <w:rsid w:val="000735C8"/>
    <w:rsid w:val="00084D6F"/>
    <w:rsid w:val="000A3AD2"/>
    <w:rsid w:val="000D2D63"/>
    <w:rsid w:val="000E79EC"/>
    <w:rsid w:val="000F0AE7"/>
    <w:rsid w:val="000F15CD"/>
    <w:rsid w:val="000F1CD5"/>
    <w:rsid w:val="000F69D6"/>
    <w:rsid w:val="000F7572"/>
    <w:rsid w:val="001060BC"/>
    <w:rsid w:val="001155D0"/>
    <w:rsid w:val="0014676A"/>
    <w:rsid w:val="00173BC3"/>
    <w:rsid w:val="001A4991"/>
    <w:rsid w:val="001A74A6"/>
    <w:rsid w:val="001B7A2D"/>
    <w:rsid w:val="001D6A14"/>
    <w:rsid w:val="001E58AE"/>
    <w:rsid w:val="001E657D"/>
    <w:rsid w:val="001F458E"/>
    <w:rsid w:val="00215D4C"/>
    <w:rsid w:val="00217404"/>
    <w:rsid w:val="00236131"/>
    <w:rsid w:val="00265C60"/>
    <w:rsid w:val="00292B61"/>
    <w:rsid w:val="002969B5"/>
    <w:rsid w:val="002B230E"/>
    <w:rsid w:val="002C104D"/>
    <w:rsid w:val="002E00C5"/>
    <w:rsid w:val="002E3C2B"/>
    <w:rsid w:val="00322718"/>
    <w:rsid w:val="003331DC"/>
    <w:rsid w:val="00350CFE"/>
    <w:rsid w:val="0035604E"/>
    <w:rsid w:val="003611BE"/>
    <w:rsid w:val="0036303A"/>
    <w:rsid w:val="00367D35"/>
    <w:rsid w:val="0038286B"/>
    <w:rsid w:val="003A2885"/>
    <w:rsid w:val="003F4D4C"/>
    <w:rsid w:val="00411754"/>
    <w:rsid w:val="004467EA"/>
    <w:rsid w:val="0046544C"/>
    <w:rsid w:val="00466DCB"/>
    <w:rsid w:val="00473777"/>
    <w:rsid w:val="004A1FD7"/>
    <w:rsid w:val="004A6B41"/>
    <w:rsid w:val="004B5603"/>
    <w:rsid w:val="004F5700"/>
    <w:rsid w:val="00507F49"/>
    <w:rsid w:val="00531E11"/>
    <w:rsid w:val="005446C6"/>
    <w:rsid w:val="00597022"/>
    <w:rsid w:val="005E2443"/>
    <w:rsid w:val="005F2E21"/>
    <w:rsid w:val="00606B8B"/>
    <w:rsid w:val="00657AD6"/>
    <w:rsid w:val="00677145"/>
    <w:rsid w:val="00686731"/>
    <w:rsid w:val="006F501D"/>
    <w:rsid w:val="007339AB"/>
    <w:rsid w:val="0074527A"/>
    <w:rsid w:val="00750A86"/>
    <w:rsid w:val="00751135"/>
    <w:rsid w:val="00753803"/>
    <w:rsid w:val="007815CC"/>
    <w:rsid w:val="00797C7E"/>
    <w:rsid w:val="007A3301"/>
    <w:rsid w:val="007C0852"/>
    <w:rsid w:val="007C391E"/>
    <w:rsid w:val="007E5DFB"/>
    <w:rsid w:val="007F1F9E"/>
    <w:rsid w:val="008033EC"/>
    <w:rsid w:val="00826266"/>
    <w:rsid w:val="00846176"/>
    <w:rsid w:val="008A7AC7"/>
    <w:rsid w:val="008B0E35"/>
    <w:rsid w:val="008B3B90"/>
    <w:rsid w:val="008D58BE"/>
    <w:rsid w:val="008E69F8"/>
    <w:rsid w:val="008F4F0F"/>
    <w:rsid w:val="009003B8"/>
    <w:rsid w:val="00905D52"/>
    <w:rsid w:val="009155A6"/>
    <w:rsid w:val="00921682"/>
    <w:rsid w:val="00926450"/>
    <w:rsid w:val="009429A3"/>
    <w:rsid w:val="00943C7C"/>
    <w:rsid w:val="00944FC2"/>
    <w:rsid w:val="00954A46"/>
    <w:rsid w:val="0095557F"/>
    <w:rsid w:val="00965781"/>
    <w:rsid w:val="009734D2"/>
    <w:rsid w:val="00975454"/>
    <w:rsid w:val="009754A8"/>
    <w:rsid w:val="00992A45"/>
    <w:rsid w:val="00994796"/>
    <w:rsid w:val="009B53C7"/>
    <w:rsid w:val="009E0391"/>
    <w:rsid w:val="009E21B5"/>
    <w:rsid w:val="00A04C85"/>
    <w:rsid w:val="00A20D8F"/>
    <w:rsid w:val="00A61D43"/>
    <w:rsid w:val="00A61FE6"/>
    <w:rsid w:val="00A65788"/>
    <w:rsid w:val="00A91E33"/>
    <w:rsid w:val="00AA2794"/>
    <w:rsid w:val="00AA4922"/>
    <w:rsid w:val="00AA49D3"/>
    <w:rsid w:val="00AA4CD7"/>
    <w:rsid w:val="00AC2026"/>
    <w:rsid w:val="00AE4081"/>
    <w:rsid w:val="00B138B1"/>
    <w:rsid w:val="00B259EC"/>
    <w:rsid w:val="00B47F8C"/>
    <w:rsid w:val="00B619E4"/>
    <w:rsid w:val="00B73D08"/>
    <w:rsid w:val="00B84C01"/>
    <w:rsid w:val="00B84EA6"/>
    <w:rsid w:val="00BB73F4"/>
    <w:rsid w:val="00BC2798"/>
    <w:rsid w:val="00BC4A7C"/>
    <w:rsid w:val="00C264CE"/>
    <w:rsid w:val="00C3620E"/>
    <w:rsid w:val="00C37B7D"/>
    <w:rsid w:val="00C53048"/>
    <w:rsid w:val="00C54B2C"/>
    <w:rsid w:val="00C607DF"/>
    <w:rsid w:val="00C8524C"/>
    <w:rsid w:val="00C921C8"/>
    <w:rsid w:val="00CA5E41"/>
    <w:rsid w:val="00CD28E0"/>
    <w:rsid w:val="00D0246C"/>
    <w:rsid w:val="00D207FE"/>
    <w:rsid w:val="00D35840"/>
    <w:rsid w:val="00D71AE2"/>
    <w:rsid w:val="00DB348D"/>
    <w:rsid w:val="00DB41C0"/>
    <w:rsid w:val="00DC0BE7"/>
    <w:rsid w:val="00DD764D"/>
    <w:rsid w:val="00E2779E"/>
    <w:rsid w:val="00E6576D"/>
    <w:rsid w:val="00E80E42"/>
    <w:rsid w:val="00E8328A"/>
    <w:rsid w:val="00E90D01"/>
    <w:rsid w:val="00E91A24"/>
    <w:rsid w:val="00E95755"/>
    <w:rsid w:val="00E96634"/>
    <w:rsid w:val="00EA46A4"/>
    <w:rsid w:val="00EB2BDB"/>
    <w:rsid w:val="00EB34BF"/>
    <w:rsid w:val="00EC3BEB"/>
    <w:rsid w:val="00EC3C1C"/>
    <w:rsid w:val="00ED3550"/>
    <w:rsid w:val="00ED6592"/>
    <w:rsid w:val="00F01951"/>
    <w:rsid w:val="00F221AA"/>
    <w:rsid w:val="00F323E3"/>
    <w:rsid w:val="00F64CD6"/>
    <w:rsid w:val="00F674F3"/>
    <w:rsid w:val="00FC6C0B"/>
    <w:rsid w:val="00FD5645"/>
    <w:rsid w:val="00FE5B97"/>
    <w:rsid w:val="00FF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6EBC"/>
  <w15:chartTrackingRefBased/>
  <w15:docId w15:val="{475E2C64-2CD3-4524-BAF2-59E51B0B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048"/>
    <w:rPr>
      <w:color w:val="0563C1" w:themeColor="hyperlink"/>
      <w:u w:val="single"/>
    </w:rPr>
  </w:style>
  <w:style w:type="character" w:styleId="UnresolvedMention">
    <w:name w:val="Unresolved Mention"/>
    <w:basedOn w:val="DefaultParagraphFont"/>
    <w:uiPriority w:val="99"/>
    <w:semiHidden/>
    <w:unhideWhenUsed/>
    <w:rsid w:val="00C53048"/>
    <w:rPr>
      <w:color w:val="605E5C"/>
      <w:shd w:val="clear" w:color="auto" w:fill="E1DFDD"/>
    </w:rPr>
  </w:style>
  <w:style w:type="paragraph" w:styleId="Header">
    <w:name w:val="header"/>
    <w:basedOn w:val="Normal"/>
    <w:link w:val="HeaderChar"/>
    <w:uiPriority w:val="99"/>
    <w:unhideWhenUsed/>
    <w:rsid w:val="00322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718"/>
  </w:style>
  <w:style w:type="paragraph" w:styleId="Footer">
    <w:name w:val="footer"/>
    <w:basedOn w:val="Normal"/>
    <w:link w:val="FooterChar"/>
    <w:uiPriority w:val="99"/>
    <w:unhideWhenUsed/>
    <w:rsid w:val="00322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718"/>
  </w:style>
  <w:style w:type="paragraph" w:styleId="ListParagraph">
    <w:name w:val="List Paragraph"/>
    <w:basedOn w:val="Normal"/>
    <w:uiPriority w:val="34"/>
    <w:qFormat/>
    <w:rsid w:val="00A61D43"/>
    <w:pPr>
      <w:ind w:left="720"/>
      <w:contextualSpacing/>
    </w:pPr>
  </w:style>
  <w:style w:type="character" w:styleId="FollowedHyperlink">
    <w:name w:val="FollowedHyperlink"/>
    <w:basedOn w:val="DefaultParagraphFont"/>
    <w:uiPriority w:val="99"/>
    <w:semiHidden/>
    <w:unhideWhenUsed/>
    <w:rsid w:val="00A20D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7031">
      <w:bodyDiv w:val="1"/>
      <w:marLeft w:val="0"/>
      <w:marRight w:val="0"/>
      <w:marTop w:val="0"/>
      <w:marBottom w:val="0"/>
      <w:divBdr>
        <w:top w:val="none" w:sz="0" w:space="0" w:color="auto"/>
        <w:left w:val="none" w:sz="0" w:space="0" w:color="auto"/>
        <w:bottom w:val="none" w:sz="0" w:space="0" w:color="auto"/>
        <w:right w:val="none" w:sz="0" w:space="0" w:color="auto"/>
      </w:divBdr>
    </w:div>
    <w:div w:id="724912945">
      <w:bodyDiv w:val="1"/>
      <w:marLeft w:val="0"/>
      <w:marRight w:val="0"/>
      <w:marTop w:val="0"/>
      <w:marBottom w:val="0"/>
      <w:divBdr>
        <w:top w:val="none" w:sz="0" w:space="0" w:color="auto"/>
        <w:left w:val="none" w:sz="0" w:space="0" w:color="auto"/>
        <w:bottom w:val="none" w:sz="0" w:space="0" w:color="auto"/>
        <w:right w:val="none" w:sz="0" w:space="0" w:color="auto"/>
      </w:divBdr>
    </w:div>
    <w:div w:id="794519805">
      <w:bodyDiv w:val="1"/>
      <w:marLeft w:val="0"/>
      <w:marRight w:val="0"/>
      <w:marTop w:val="0"/>
      <w:marBottom w:val="0"/>
      <w:divBdr>
        <w:top w:val="none" w:sz="0" w:space="0" w:color="auto"/>
        <w:left w:val="none" w:sz="0" w:space="0" w:color="auto"/>
        <w:bottom w:val="none" w:sz="0" w:space="0" w:color="auto"/>
        <w:right w:val="none" w:sz="0" w:space="0" w:color="auto"/>
      </w:divBdr>
      <w:divsChild>
        <w:div w:id="962230682">
          <w:marLeft w:val="0"/>
          <w:marRight w:val="0"/>
          <w:marTop w:val="0"/>
          <w:marBottom w:val="0"/>
          <w:divBdr>
            <w:top w:val="none" w:sz="0" w:space="0" w:color="auto"/>
            <w:left w:val="none" w:sz="0" w:space="0" w:color="auto"/>
            <w:bottom w:val="none" w:sz="0" w:space="0" w:color="auto"/>
            <w:right w:val="none" w:sz="0" w:space="0" w:color="auto"/>
          </w:divBdr>
          <w:divsChild>
            <w:div w:id="1802114364">
              <w:marLeft w:val="0"/>
              <w:marRight w:val="0"/>
              <w:marTop w:val="0"/>
              <w:marBottom w:val="0"/>
              <w:divBdr>
                <w:top w:val="none" w:sz="0" w:space="0" w:color="auto"/>
                <w:left w:val="none" w:sz="0" w:space="0" w:color="auto"/>
                <w:bottom w:val="none" w:sz="0" w:space="0" w:color="auto"/>
                <w:right w:val="none" w:sz="0" w:space="0" w:color="auto"/>
              </w:divBdr>
              <w:divsChild>
                <w:div w:id="554314164">
                  <w:marLeft w:val="0"/>
                  <w:marRight w:val="0"/>
                  <w:marTop w:val="0"/>
                  <w:marBottom w:val="0"/>
                  <w:divBdr>
                    <w:top w:val="none" w:sz="0" w:space="0" w:color="auto"/>
                    <w:left w:val="none" w:sz="0" w:space="0" w:color="auto"/>
                    <w:bottom w:val="none" w:sz="0" w:space="0" w:color="auto"/>
                    <w:right w:val="none" w:sz="0" w:space="0" w:color="auto"/>
                  </w:divBdr>
                  <w:divsChild>
                    <w:div w:id="146554154">
                      <w:marLeft w:val="0"/>
                      <w:marRight w:val="0"/>
                      <w:marTop w:val="0"/>
                      <w:marBottom w:val="0"/>
                      <w:divBdr>
                        <w:top w:val="none" w:sz="0" w:space="0" w:color="auto"/>
                        <w:left w:val="none" w:sz="0" w:space="0" w:color="auto"/>
                        <w:bottom w:val="none" w:sz="0" w:space="0" w:color="auto"/>
                        <w:right w:val="none" w:sz="0" w:space="0" w:color="auto"/>
                      </w:divBdr>
                      <w:divsChild>
                        <w:div w:id="282227266">
                          <w:marLeft w:val="0"/>
                          <w:marRight w:val="0"/>
                          <w:marTop w:val="0"/>
                          <w:marBottom w:val="0"/>
                          <w:divBdr>
                            <w:top w:val="none" w:sz="0" w:space="0" w:color="auto"/>
                            <w:left w:val="none" w:sz="0" w:space="0" w:color="auto"/>
                            <w:bottom w:val="none" w:sz="0" w:space="0" w:color="auto"/>
                            <w:right w:val="none" w:sz="0" w:space="0" w:color="auto"/>
                          </w:divBdr>
                          <w:divsChild>
                            <w:div w:id="8597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371965">
      <w:bodyDiv w:val="1"/>
      <w:marLeft w:val="0"/>
      <w:marRight w:val="0"/>
      <w:marTop w:val="0"/>
      <w:marBottom w:val="0"/>
      <w:divBdr>
        <w:top w:val="none" w:sz="0" w:space="0" w:color="auto"/>
        <w:left w:val="none" w:sz="0" w:space="0" w:color="auto"/>
        <w:bottom w:val="none" w:sz="0" w:space="0" w:color="auto"/>
        <w:right w:val="none" w:sz="0" w:space="0" w:color="auto"/>
      </w:divBdr>
      <w:divsChild>
        <w:div w:id="1185437653">
          <w:marLeft w:val="0"/>
          <w:marRight w:val="0"/>
          <w:marTop w:val="0"/>
          <w:marBottom w:val="0"/>
          <w:divBdr>
            <w:top w:val="none" w:sz="0" w:space="0" w:color="auto"/>
            <w:left w:val="none" w:sz="0" w:space="0" w:color="auto"/>
            <w:bottom w:val="none" w:sz="0" w:space="0" w:color="auto"/>
            <w:right w:val="none" w:sz="0" w:space="0" w:color="auto"/>
          </w:divBdr>
          <w:divsChild>
            <w:div w:id="696807821">
              <w:marLeft w:val="0"/>
              <w:marRight w:val="0"/>
              <w:marTop w:val="0"/>
              <w:marBottom w:val="0"/>
              <w:divBdr>
                <w:top w:val="none" w:sz="0" w:space="0" w:color="auto"/>
                <w:left w:val="none" w:sz="0" w:space="0" w:color="auto"/>
                <w:bottom w:val="none" w:sz="0" w:space="0" w:color="auto"/>
                <w:right w:val="none" w:sz="0" w:space="0" w:color="auto"/>
              </w:divBdr>
              <w:divsChild>
                <w:div w:id="1352949040">
                  <w:marLeft w:val="0"/>
                  <w:marRight w:val="0"/>
                  <w:marTop w:val="0"/>
                  <w:marBottom w:val="0"/>
                  <w:divBdr>
                    <w:top w:val="none" w:sz="0" w:space="0" w:color="auto"/>
                    <w:left w:val="none" w:sz="0" w:space="0" w:color="auto"/>
                    <w:bottom w:val="none" w:sz="0" w:space="0" w:color="auto"/>
                    <w:right w:val="none" w:sz="0" w:space="0" w:color="auto"/>
                  </w:divBdr>
                  <w:divsChild>
                    <w:div w:id="355467469">
                      <w:marLeft w:val="0"/>
                      <w:marRight w:val="0"/>
                      <w:marTop w:val="0"/>
                      <w:marBottom w:val="0"/>
                      <w:divBdr>
                        <w:top w:val="none" w:sz="0" w:space="0" w:color="auto"/>
                        <w:left w:val="none" w:sz="0" w:space="0" w:color="auto"/>
                        <w:bottom w:val="none" w:sz="0" w:space="0" w:color="auto"/>
                        <w:right w:val="none" w:sz="0" w:space="0" w:color="auto"/>
                      </w:divBdr>
                      <w:divsChild>
                        <w:div w:id="1138180231">
                          <w:marLeft w:val="0"/>
                          <w:marRight w:val="0"/>
                          <w:marTop w:val="0"/>
                          <w:marBottom w:val="0"/>
                          <w:divBdr>
                            <w:top w:val="none" w:sz="0" w:space="0" w:color="auto"/>
                            <w:left w:val="none" w:sz="0" w:space="0" w:color="auto"/>
                            <w:bottom w:val="none" w:sz="0" w:space="0" w:color="auto"/>
                            <w:right w:val="none" w:sz="0" w:space="0" w:color="auto"/>
                          </w:divBdr>
                          <w:divsChild>
                            <w:div w:id="4857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788718">
      <w:bodyDiv w:val="1"/>
      <w:marLeft w:val="0"/>
      <w:marRight w:val="0"/>
      <w:marTop w:val="0"/>
      <w:marBottom w:val="0"/>
      <w:divBdr>
        <w:top w:val="none" w:sz="0" w:space="0" w:color="auto"/>
        <w:left w:val="none" w:sz="0" w:space="0" w:color="auto"/>
        <w:bottom w:val="none" w:sz="0" w:space="0" w:color="auto"/>
        <w:right w:val="none" w:sz="0" w:space="0" w:color="auto"/>
      </w:divBdr>
      <w:divsChild>
        <w:div w:id="1991976230">
          <w:marLeft w:val="0"/>
          <w:marRight w:val="0"/>
          <w:marTop w:val="0"/>
          <w:marBottom w:val="0"/>
          <w:divBdr>
            <w:top w:val="none" w:sz="0" w:space="0" w:color="auto"/>
            <w:left w:val="none" w:sz="0" w:space="0" w:color="auto"/>
            <w:bottom w:val="none" w:sz="0" w:space="0" w:color="auto"/>
            <w:right w:val="none" w:sz="0" w:space="0" w:color="auto"/>
          </w:divBdr>
          <w:divsChild>
            <w:div w:id="481311237">
              <w:marLeft w:val="0"/>
              <w:marRight w:val="0"/>
              <w:marTop w:val="0"/>
              <w:marBottom w:val="0"/>
              <w:divBdr>
                <w:top w:val="none" w:sz="0" w:space="0" w:color="auto"/>
                <w:left w:val="none" w:sz="0" w:space="0" w:color="auto"/>
                <w:bottom w:val="none" w:sz="0" w:space="0" w:color="auto"/>
                <w:right w:val="none" w:sz="0" w:space="0" w:color="auto"/>
              </w:divBdr>
              <w:divsChild>
                <w:div w:id="987317754">
                  <w:marLeft w:val="0"/>
                  <w:marRight w:val="0"/>
                  <w:marTop w:val="0"/>
                  <w:marBottom w:val="0"/>
                  <w:divBdr>
                    <w:top w:val="none" w:sz="0" w:space="0" w:color="auto"/>
                    <w:left w:val="none" w:sz="0" w:space="0" w:color="auto"/>
                    <w:bottom w:val="none" w:sz="0" w:space="0" w:color="auto"/>
                    <w:right w:val="none" w:sz="0" w:space="0" w:color="auto"/>
                  </w:divBdr>
                  <w:divsChild>
                    <w:div w:id="1993950257">
                      <w:marLeft w:val="0"/>
                      <w:marRight w:val="0"/>
                      <w:marTop w:val="0"/>
                      <w:marBottom w:val="0"/>
                      <w:divBdr>
                        <w:top w:val="none" w:sz="0" w:space="0" w:color="auto"/>
                        <w:left w:val="none" w:sz="0" w:space="0" w:color="auto"/>
                        <w:bottom w:val="none" w:sz="0" w:space="0" w:color="auto"/>
                        <w:right w:val="none" w:sz="0" w:space="0" w:color="auto"/>
                      </w:divBdr>
                      <w:divsChild>
                        <w:div w:id="2049142548">
                          <w:marLeft w:val="0"/>
                          <w:marRight w:val="0"/>
                          <w:marTop w:val="0"/>
                          <w:marBottom w:val="0"/>
                          <w:divBdr>
                            <w:top w:val="none" w:sz="0" w:space="0" w:color="auto"/>
                            <w:left w:val="none" w:sz="0" w:space="0" w:color="auto"/>
                            <w:bottom w:val="none" w:sz="0" w:space="0" w:color="auto"/>
                            <w:right w:val="none" w:sz="0" w:space="0" w:color="auto"/>
                          </w:divBdr>
                          <w:divsChild>
                            <w:div w:id="4003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056541">
      <w:bodyDiv w:val="1"/>
      <w:marLeft w:val="0"/>
      <w:marRight w:val="0"/>
      <w:marTop w:val="0"/>
      <w:marBottom w:val="0"/>
      <w:divBdr>
        <w:top w:val="none" w:sz="0" w:space="0" w:color="auto"/>
        <w:left w:val="none" w:sz="0" w:space="0" w:color="auto"/>
        <w:bottom w:val="none" w:sz="0" w:space="0" w:color="auto"/>
        <w:right w:val="none" w:sz="0" w:space="0" w:color="auto"/>
      </w:divBdr>
    </w:div>
    <w:div w:id="1460798295">
      <w:bodyDiv w:val="1"/>
      <w:marLeft w:val="0"/>
      <w:marRight w:val="0"/>
      <w:marTop w:val="0"/>
      <w:marBottom w:val="0"/>
      <w:divBdr>
        <w:top w:val="none" w:sz="0" w:space="0" w:color="auto"/>
        <w:left w:val="none" w:sz="0" w:space="0" w:color="auto"/>
        <w:bottom w:val="none" w:sz="0" w:space="0" w:color="auto"/>
        <w:right w:val="none" w:sz="0" w:space="0" w:color="auto"/>
      </w:divBdr>
    </w:div>
    <w:div w:id="1492138564">
      <w:bodyDiv w:val="1"/>
      <w:marLeft w:val="0"/>
      <w:marRight w:val="0"/>
      <w:marTop w:val="0"/>
      <w:marBottom w:val="0"/>
      <w:divBdr>
        <w:top w:val="none" w:sz="0" w:space="0" w:color="auto"/>
        <w:left w:val="none" w:sz="0" w:space="0" w:color="auto"/>
        <w:bottom w:val="none" w:sz="0" w:space="0" w:color="auto"/>
        <w:right w:val="none" w:sz="0" w:space="0" w:color="auto"/>
      </w:divBdr>
      <w:divsChild>
        <w:div w:id="881939821">
          <w:marLeft w:val="0"/>
          <w:marRight w:val="0"/>
          <w:marTop w:val="0"/>
          <w:marBottom w:val="0"/>
          <w:divBdr>
            <w:top w:val="none" w:sz="0" w:space="0" w:color="auto"/>
            <w:left w:val="none" w:sz="0" w:space="0" w:color="auto"/>
            <w:bottom w:val="none" w:sz="0" w:space="0" w:color="auto"/>
            <w:right w:val="none" w:sz="0" w:space="0" w:color="auto"/>
          </w:divBdr>
        </w:div>
      </w:divsChild>
    </w:div>
    <w:div w:id="1731922545">
      <w:bodyDiv w:val="1"/>
      <w:marLeft w:val="0"/>
      <w:marRight w:val="0"/>
      <w:marTop w:val="0"/>
      <w:marBottom w:val="0"/>
      <w:divBdr>
        <w:top w:val="none" w:sz="0" w:space="0" w:color="auto"/>
        <w:left w:val="none" w:sz="0" w:space="0" w:color="auto"/>
        <w:bottom w:val="none" w:sz="0" w:space="0" w:color="auto"/>
        <w:right w:val="none" w:sz="0" w:space="0" w:color="auto"/>
      </w:divBdr>
    </w:div>
    <w:div w:id="1743137310">
      <w:bodyDiv w:val="1"/>
      <w:marLeft w:val="0"/>
      <w:marRight w:val="0"/>
      <w:marTop w:val="0"/>
      <w:marBottom w:val="0"/>
      <w:divBdr>
        <w:top w:val="none" w:sz="0" w:space="0" w:color="auto"/>
        <w:left w:val="none" w:sz="0" w:space="0" w:color="auto"/>
        <w:bottom w:val="none" w:sz="0" w:space="0" w:color="auto"/>
        <w:right w:val="none" w:sz="0" w:space="0" w:color="auto"/>
      </w:divBdr>
      <w:divsChild>
        <w:div w:id="640620251">
          <w:marLeft w:val="0"/>
          <w:marRight w:val="0"/>
          <w:marTop w:val="0"/>
          <w:marBottom w:val="0"/>
          <w:divBdr>
            <w:top w:val="none" w:sz="0" w:space="0" w:color="auto"/>
            <w:left w:val="none" w:sz="0" w:space="0" w:color="auto"/>
            <w:bottom w:val="none" w:sz="0" w:space="0" w:color="auto"/>
            <w:right w:val="none" w:sz="0" w:space="0" w:color="auto"/>
          </w:divBdr>
          <w:divsChild>
            <w:div w:id="631327857">
              <w:marLeft w:val="0"/>
              <w:marRight w:val="0"/>
              <w:marTop w:val="0"/>
              <w:marBottom w:val="0"/>
              <w:divBdr>
                <w:top w:val="none" w:sz="0" w:space="0" w:color="auto"/>
                <w:left w:val="none" w:sz="0" w:space="0" w:color="auto"/>
                <w:bottom w:val="none" w:sz="0" w:space="0" w:color="auto"/>
                <w:right w:val="none" w:sz="0" w:space="0" w:color="auto"/>
              </w:divBdr>
              <w:divsChild>
                <w:div w:id="743602065">
                  <w:marLeft w:val="0"/>
                  <w:marRight w:val="0"/>
                  <w:marTop w:val="0"/>
                  <w:marBottom w:val="0"/>
                  <w:divBdr>
                    <w:top w:val="none" w:sz="0" w:space="0" w:color="auto"/>
                    <w:left w:val="none" w:sz="0" w:space="0" w:color="auto"/>
                    <w:bottom w:val="none" w:sz="0" w:space="0" w:color="auto"/>
                    <w:right w:val="none" w:sz="0" w:space="0" w:color="auto"/>
                  </w:divBdr>
                  <w:divsChild>
                    <w:div w:id="411322387">
                      <w:marLeft w:val="0"/>
                      <w:marRight w:val="0"/>
                      <w:marTop w:val="0"/>
                      <w:marBottom w:val="0"/>
                      <w:divBdr>
                        <w:top w:val="none" w:sz="0" w:space="0" w:color="auto"/>
                        <w:left w:val="none" w:sz="0" w:space="0" w:color="auto"/>
                        <w:bottom w:val="none" w:sz="0" w:space="0" w:color="auto"/>
                        <w:right w:val="none" w:sz="0" w:space="0" w:color="auto"/>
                      </w:divBdr>
                      <w:divsChild>
                        <w:div w:id="167258823">
                          <w:marLeft w:val="0"/>
                          <w:marRight w:val="0"/>
                          <w:marTop w:val="0"/>
                          <w:marBottom w:val="0"/>
                          <w:divBdr>
                            <w:top w:val="none" w:sz="0" w:space="0" w:color="auto"/>
                            <w:left w:val="none" w:sz="0" w:space="0" w:color="auto"/>
                            <w:bottom w:val="none" w:sz="0" w:space="0" w:color="auto"/>
                            <w:right w:val="none" w:sz="0" w:space="0" w:color="auto"/>
                          </w:divBdr>
                          <w:divsChild>
                            <w:div w:id="9963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levelandclinic.org/health/articles/12070-oral-diabetes-medications" TargetMode="External"/><Relationship Id="rId13" Type="http://schemas.openxmlformats.org/officeDocument/2006/relationships/hyperlink" Target="https://www.accessdata.fda.gov/drugsatfda_docs/label/2012/021995s019lbl.pdf" TargetMode="External"/><Relationship Id="rId3" Type="http://schemas.openxmlformats.org/officeDocument/2006/relationships/settings" Target="settings.xml"/><Relationship Id="rId7" Type="http://schemas.openxmlformats.org/officeDocument/2006/relationships/hyperlink" Target="https://pro.boehringer-ingelheim.com/us/products/jardiance/bipdf/jardiance-us-prescribing-information" TargetMode="External"/><Relationship Id="rId12" Type="http://schemas.openxmlformats.org/officeDocument/2006/relationships/hyperlink" Target="https://www.accessdata.fda.gov/drugsatfda_docs/label/2021/020329Orig1s035lbl.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cessdata.fda.gov/drugsatfda_docs/label/2017/020357s037s039,021202s021s023lbl.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ncbi.nlm.nih.gov/books/NBK482386/" TargetMode="External"/><Relationship Id="rId4" Type="http://schemas.openxmlformats.org/officeDocument/2006/relationships/webSettings" Target="webSettings.xml"/><Relationship Id="rId9" Type="http://schemas.openxmlformats.org/officeDocument/2006/relationships/hyperlink" Target="https://www.drugs.com/drug-class/antidiabetic-agents.html" TargetMode="External"/><Relationship Id="rId14" Type="http://schemas.openxmlformats.org/officeDocument/2006/relationships/hyperlink" Target="https://doi.org/10.3390/ijms222312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60</cp:revision>
  <dcterms:created xsi:type="dcterms:W3CDTF">2025-12-09T16:24:00Z</dcterms:created>
  <dcterms:modified xsi:type="dcterms:W3CDTF">2025-12-09T17:54:00Z</dcterms:modified>
</cp:coreProperties>
</file>