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Normal"/>
      </w:pPr>
      <w:r>
        <w:t xml:space="preserve">Figure 1</w:t>
      </w:r>
    </w:p>
    <w:p>
      <w:pPr>
        <w:pStyle w:val="Normal"/>
      </w:pPr>
      <w:r>
        <w:t xml:space="preserve">Distribution of Frequencies of Regions by Method Group</w:t>
      </w:r>
    </w:p>
    <w:p>
      <w:pPr>
        <w:pStyle w:val="Normal"/>
      </w:pPr>
      <w:r>
        <w:rPr/>
        <w:drawing>
          <wp:inline distT="0" distB="0" distL="0" distR="0">
            <wp:extent cx="8229600" cy="54864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7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/>
      <w:r>
        <w:br w:type="page"/>
      </w:r>
    </w:p>
    <w:p>
      <w:pPr>
        <w:pStyle w:val="Normal"/>
      </w:pPr>
      <w:r>
        <w:t xml:space="preserve">Figure 2</w:t>
      </w:r>
    </w:p>
    <w:p>
      <w:pPr>
        <w:pStyle w:val="Normal"/>
      </w:pPr>
      <w:r>
        <w:t xml:space="preserve">Distribution of Frequencies of Platforms by Method Group</w:t>
      </w:r>
    </w:p>
    <w:p>
      <w:pPr>
        <w:pStyle w:val="Normal"/>
      </w:pPr>
      <w:r>
        <w:rPr/>
        <w:drawing>
          <wp:inline distT="0" distB="0" distL="0" distR="0">
            <wp:extent cx="8229600" cy="54864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7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/>
      <w:r>
        <w:br w:type="page"/>
      </w:r>
    </w:p>
    <w:p>
      <w:pPr>
        <w:pStyle w:val="Normal"/>
      </w:pPr>
      <w:r>
        <w:t xml:space="preserve">Figure 3</w:t>
      </w:r>
    </w:p>
    <w:p>
      <w:pPr>
        <w:pStyle w:val="Normal"/>
      </w:pPr>
      <w:r>
        <w:t xml:space="preserve">Distribution of Frequencies of Platforms (aggregated) by Method Group</w:t>
      </w:r>
    </w:p>
    <w:p>
      <w:pPr>
        <w:pStyle w:val="Normal"/>
      </w:pPr>
      <w:r>
        <w:rPr/>
        <w:drawing>
          <wp:inline distT="0" distB="0" distL="0" distR="0">
            <wp:extent cx="8229600" cy="54864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7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/>
      <w:r>
        <w:br w:type="page"/>
      </w:r>
    </w:p>
    <w:p>
      <w:pPr>
        <w:pStyle w:val="Normal"/>
      </w:pPr>
      <w:r>
        <w:t xml:space="preserve">Figure 4</w:t>
      </w:r>
    </w:p>
    <w:p>
      <w:pPr>
        <w:pStyle w:val="Normal"/>
      </w:pPr>
      <w:r>
        <w:t xml:space="preserve">Distribution of Frequencies of Analysis Methods by Method Group</w:t>
      </w:r>
    </w:p>
    <w:p>
      <w:pPr>
        <w:pStyle w:val="Normal"/>
      </w:pPr>
      <w:r>
        <w:rPr/>
        <w:drawing>
          <wp:inline distT="0" distB="0" distL="0" distR="0">
            <wp:extent cx="8229600" cy="54864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7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/>
      <w:r>
        <w:br w:type="page"/>
      </w:r>
    </w:p>
    <w:p>
      <w:pPr>
        <w:pStyle w:val="Normal"/>
      </w:pPr>
      <w:r>
        <w:t xml:space="preserve">Figure 5</w:t>
      </w:r>
    </w:p>
    <w:p>
      <w:pPr>
        <w:pStyle w:val="Normal"/>
      </w:pPr>
      <w:r>
        <w:t xml:space="preserve">Distribution of Frequency of Cross-National Research Designs by Method Group</w:t>
      </w:r>
    </w:p>
    <w:p>
      <w:pPr>
        <w:pStyle w:val="Normal"/>
      </w:pPr>
      <w:r>
        <w:rPr/>
        <w:drawing>
          <wp:inline distT="0" distB="0" distL="0" distR="0">
            <wp:extent cx="8229600" cy="5486400"/>
            <wp:docPr id="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7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/>
      <w:r>
        <w:br w:type="page"/>
      </w:r>
    </w:p>
    <w:p>
      <w:pPr>
        <w:pStyle w:val="Normal"/>
      </w:pPr>
      <w:r>
        <w:t xml:space="preserve">Figure 6</w:t>
      </w:r>
    </w:p>
    <w:p>
      <w:pPr>
        <w:pStyle w:val="Normal"/>
      </w:pPr>
      <w:r>
        <w:t xml:space="preserve">Distribution of Frequency of Experimental Research Designs by Method Group</w:t>
      </w:r>
    </w:p>
    <w:p>
      <w:pPr>
        <w:pStyle w:val="Normal"/>
      </w:pPr>
      <w:r>
        <w:rPr/>
        <w:drawing>
          <wp:inline distT="0" distB="0" distL="0" distR="0">
            <wp:extent cx="8229600" cy="5486400"/>
            <wp:docPr id="1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7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/>
      <w:r>
        <w:br w:type="page"/>
      </w:r>
    </w:p>
    <w:p>
      <w:pPr>
        <w:pStyle w:val="Normal"/>
      </w:pPr>
      <w:r>
        <w:t xml:space="preserve">Figure (supplement): Analysis Methods — % overall (no split)</w:t>
      </w:r>
    </w:p>
    <w:p>
      <w:pPr>
        <w:pStyle w:val="Normal"/>
      </w:pPr>
      <w:r>
        <w:t xml:space="preserve">Overall distribution of analysis methods (V11) across the full sample.</w:t>
      </w:r>
    </w:p>
    <w:p>
      <w:pPr>
        <w:pStyle w:val="Normal"/>
      </w:pPr>
      <w:r>
        <w:rPr/>
        <w:drawing>
          <wp:inline distT="0" distB="0" distL="0" distR="0">
            <wp:extent cx="8229600" cy="4572000"/>
            <wp:docPr id="1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/>
      <w:r>
        <w:br w:type="page"/>
      </w:r>
    </w:p>
    <w:p>
      <w:pPr>
        <w:pStyle w:val="Normal"/>
      </w:pPr>
      <w:r>
        <w:t xml:space="preserve">Figure (supplement): Geographic distribution of studies across world regions</w:t>
      </w:r>
    </w:p>
    <w:p>
      <w:pPr>
        <w:pStyle w:val="Normal"/>
      </w:pPr>
      <w:r>
        <w:t xml:space="preserve">Shaded world maps by method group (CSS vs. Non-CSS). Darker shading indicates more studies in that region. Facet titles include % of studies using global samples.</w:t>
      </w:r>
    </w:p>
    <w:p>
      <w:pPr>
        <w:pStyle w:val="Normal"/>
      </w:pPr>
      <w:r>
        <w:rPr/>
        <w:drawing>
          <wp:inline distT="0" distB="0" distL="0" distR="0">
            <wp:extent cx="8229600" cy="4572000"/>
            <wp:docPr id="1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/>
      <w:r>
        <w:br w:type="page"/>
      </w:r>
    </w:p>
    <w:p>
      <w:pPr>
        <w:pStyle w:val="Normal"/>
      </w:pPr>
      <w:r>
        <w:t xml:space="preserve">Figure (supplement): Cross-national, Cross-platform, and Experimental Designs</w:t>
      </w:r>
    </w:p>
    <w:p>
      <w:pPr>
        <w:pStyle w:val="Normal"/>
      </w:pPr>
      <w:r>
        <w:t xml:space="preserve">Share of studies by design feature (cross-national, cross-platform, experimental), split by method group (CSS vs. Non-CSS).</w:t>
      </w:r>
    </w:p>
    <w:p>
      <w:pPr>
        <w:pStyle w:val="Normal"/>
      </w:pPr>
      <w:r>
        <w:rPr/>
        <w:drawing>
          <wp:inline distT="0" distB="0" distL="0" distR="0">
            <wp:extent cx="8229600" cy="4572000"/>
            <wp:docPr id="1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/>
      <w:r>
        <w:br w:type="page"/>
      </w:r>
    </w:p>
    <w:p>
      <w:pPr>
        <w:pStyle w:val="Normal"/>
      </w:pPr>
      <w:r>
        <w:t xml:space="preserve">Figure (supplement): Analysis Methods — % within design (cross-national only)</w:t>
      </w:r>
    </w:p>
    <w:p>
      <w:pPr>
        <w:pStyle w:val="Normal"/>
      </w:pPr>
      <w:r>
        <w:t xml:space="preserve">Bar chart of cross-national design by analysis method, split by CSS vs. Non-CSS. Matches the left block of the V11 × V12 table.</w:t>
      </w:r>
    </w:p>
    <w:p>
      <w:pPr>
        <w:pStyle w:val="Normal"/>
      </w:pPr>
      <w:r>
        <w:rPr/>
        <w:drawing>
          <wp:inline distT="0" distB="0" distL="0" distR="0">
            <wp:extent cx="8229600" cy="4572000"/>
            <wp:docPr id="1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/>
      <w:r>
        <w:br w:type="page"/>
      </w:r>
    </w:p>
    <w:p>
      <w:pPr>
        <w:pStyle w:val="Normal"/>
      </w:pPr>
      <w:r>
        <w:t xml:space="preserve">Figure (supplement): Platforms — % within design (cross-national only)</w:t>
      </w:r>
    </w:p>
    <w:p>
      <w:pPr>
        <w:pStyle w:val="Normal"/>
      </w:pPr>
      <w:r>
        <w:t xml:space="preserve">Bar chart of cross-national design by platform type (V10_agg), split by CSS vs. Non-CSS. Matches the left block of the V12 × V10_agg logic.</w:t>
      </w:r>
    </w:p>
    <w:p>
      <w:pPr>
        <w:pStyle w:val="Normal"/>
      </w:pPr>
      <w:r>
        <w:rPr/>
        <w:drawing>
          <wp:inline distT="0" distB="0" distL="0" distR="0">
            <wp:extent cx="8229600" cy="4572000"/>
            <wp:docPr id="2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/>
      <w:r>
        <w:br w:type="page"/>
      </w:r>
    </w:p>
    <w:p>
      <w:pPr>
        <w:pStyle w:val="Normal"/>
      </w:pPr>
      <w:r>
        <w:t xml:space="preserve">Figure (supplement): Method combinations — overall %</w:t>
      </w:r>
    </w:p>
    <w:p>
      <w:pPr>
        <w:pStyle w:val="Normal"/>
      </w:pPr>
      <w:r>
        <w:t xml:space="preserve">Bar chart of method-combination types.</w:t>
      </w:r>
    </w:p>
    <w:p>
      <w:pPr>
        <w:pStyle w:val="Normal"/>
      </w:pPr>
      <w:r>
        <w:rPr/>
        <w:drawing>
          <wp:inline distT="0" distB="0" distL="0" distR="0">
            <wp:extent cx="8229600" cy="4572000"/>
            <wp:docPr id="2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/>
      <w:r>
        <w:br w:type="page"/>
      </w:r>
    </w:p>
    <w:p>
      <w:pPr>
        <w:pStyle w:val="Normal"/>
      </w:pPr>
      <w:r>
        <w:t xml:space="preserve">Figure (supplement): Protest Case Presence by Method Group (≥5% in both groups)</w:t>
      </w:r>
    </w:p>
    <w:p>
      <w:pPr>
        <w:pStyle w:val="Normal"/>
      </w:pPr>
      <w:r>
        <w:t xml:space="preserve">Percentage of studies per protest case, split by CSS vs. Non-CSS. Cases are shown only if both groups have at least 5%.</w:t>
      </w:r>
    </w:p>
    <w:p>
      <w:pPr>
        <w:pStyle w:val="Normal"/>
      </w:pPr>
      <w:r>
        <w:rPr/>
        <w:drawing>
          <wp:inline distT="0" distB="0" distL="0" distR="0">
            <wp:extent cx="9144000" cy="5486400"/>
            <wp:docPr id="2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7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/>
      <w:r>
        <w:br w:type="page"/>
      </w:r>
    </w:p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0f0029ab320bd0abaa22eb12fb871b0bbaa696ea.png"/>
<Relationship Id="rId8" Type="http://schemas.openxmlformats.org/officeDocument/2006/relationships/image" Target="media/92476de4bfe9e51d74a01b4226e64489b8609fbd.png"/>
<Relationship Id="rId9" Type="http://schemas.openxmlformats.org/officeDocument/2006/relationships/image" Target="media/8b3564eb31bf5f9d7e5e2e82b8ae1e000a46129b.png"/>
<Relationship Id="rId10" Type="http://schemas.openxmlformats.org/officeDocument/2006/relationships/image" Target="media/e73512b948d9a6094228bae76a00686668fa1056.png"/>
<Relationship Id="rId11" Type="http://schemas.openxmlformats.org/officeDocument/2006/relationships/image" Target="media/34a8f89a19c1dea8449096cab58cf9cbf98aa723.png"/>
<Relationship Id="rId12" Type="http://schemas.openxmlformats.org/officeDocument/2006/relationships/image" Target="media/37be289402b6d78fe330e3defd789ac91a13381a.png"/>
<Relationship Id="rId13" Type="http://schemas.openxmlformats.org/officeDocument/2006/relationships/image" Target="media/3ea1f73458861322398681ada772f51a29126a03.png"/>
<Relationship Id="rId14" Type="http://schemas.openxmlformats.org/officeDocument/2006/relationships/image" Target="media/0e5ad832139d5a7758781a0c33156a03d2e85678.png"/>
<Relationship Id="rId15" Type="http://schemas.openxmlformats.org/officeDocument/2006/relationships/image" Target="media/a06745e0940682f6444756cc550940d9ec7cd155.png"/>
<Relationship Id="rId16" Type="http://schemas.openxmlformats.org/officeDocument/2006/relationships/image" Target="media/ec0221a02b01a34d736d91ed7d72a7912a7a4d14.png"/>
<Relationship Id="rId17" Type="http://schemas.openxmlformats.org/officeDocument/2006/relationships/image" Target="media/06d426b022b016ff786980a3676702d4e32dd37d.png"/>
<Relationship Id="rId18" Type="http://schemas.openxmlformats.org/officeDocument/2006/relationships/image" Target="media/dc39a126d2dddf9655ac34b9e541cbb57a76a7e5.png"/>
<Relationship Id="rId19" Type="http://schemas.openxmlformats.org/officeDocument/2006/relationships/image" Target="media/d153467434f09a928c566795a3431dc9fbc2f352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2025-11-03T11:23:16Z</dcterms:modified>
  <cp:category/>
</cp:coreProperties>
</file>