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F03A93" w:rsidP="00EB4883">
      <w:pPr>
        <w:pStyle w:val="annex"/>
        <w:numPr>
          <w:ilvl w:val="0"/>
          <w:numId w:val="0"/>
        </w:numPr>
        <w:rPr>
          <w:rFonts w:ascii="Arial Narrow" w:hAnsi="Arial Narrow"/>
          <w:color w:val="auto"/>
          <w:sz w:val="22"/>
          <w:szCs w:val="22"/>
        </w:rPr>
      </w:pPr>
      <w:r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167F1E" w:rsidRPr="00F509BC" w:rsidTr="00253A13">
        <w:tc>
          <w:tcPr>
            <w:tcW w:w="2178" w:type="dxa"/>
            <w:tcBorders>
              <w:top w:val="single" w:sz="4" w:space="0" w:color="auto"/>
              <w:left w:val="single" w:sz="4" w:space="0" w:color="auto"/>
              <w:bottom w:val="single" w:sz="4" w:space="0" w:color="auto"/>
              <w:right w:val="single" w:sz="4" w:space="0" w:color="auto"/>
            </w:tcBorders>
          </w:tcPr>
          <w:p w:rsidR="00167F1E" w:rsidRPr="00F509BC" w:rsidRDefault="00167F1E" w:rsidP="00253A13">
            <w:pPr>
              <w:tabs>
                <w:tab w:val="center" w:pos="4320"/>
                <w:tab w:val="right" w:pos="8640"/>
              </w:tabs>
              <w:rPr>
                <w:rFonts w:ascii="Arial Narrow" w:hAnsi="Arial Narrow"/>
                <w:b/>
                <w:sz w:val="20"/>
                <w:szCs w:val="20"/>
              </w:rPr>
            </w:pPr>
            <w:r w:rsidRPr="00F509BC">
              <w:rPr>
                <w:rFonts w:ascii="Arial Narrow" w:hAnsi="Arial Narrow"/>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167F1E" w:rsidRPr="00F509BC" w:rsidRDefault="00167F1E" w:rsidP="00253A13">
            <w:pPr>
              <w:autoSpaceDE w:val="0"/>
              <w:autoSpaceDN w:val="0"/>
              <w:adjustRightInd w:val="0"/>
              <w:rPr>
                <w:rFonts w:ascii="Arial Narrow" w:hAnsi="Arial Narrow"/>
                <w:sz w:val="20"/>
                <w:szCs w:val="20"/>
              </w:rPr>
            </w:pPr>
            <w:r w:rsidRPr="00F509BC">
              <w:rPr>
                <w:rFonts w:ascii="Arial Narrow" w:hAnsi="Arial Narrow" w:cs="Arial"/>
                <w:b/>
                <w:bCs/>
                <w:sz w:val="20"/>
                <w:szCs w:val="20"/>
              </w:rPr>
              <w:t>Adoption proposal</w:t>
            </w:r>
          </w:p>
        </w:tc>
      </w:tr>
      <w:tr w:rsidR="00167F1E" w:rsidRPr="00F509BC" w:rsidTr="00253A13">
        <w:tc>
          <w:tcPr>
            <w:tcW w:w="2178" w:type="dxa"/>
            <w:vMerge w:val="restart"/>
            <w:tcBorders>
              <w:top w:val="single" w:sz="4" w:space="0" w:color="auto"/>
              <w:left w:val="single" w:sz="4" w:space="0" w:color="auto"/>
              <w:bottom w:val="single" w:sz="4" w:space="0" w:color="auto"/>
              <w:right w:val="single" w:sz="4" w:space="0" w:color="auto"/>
            </w:tcBorders>
          </w:tcPr>
          <w:p w:rsidR="00167F1E" w:rsidRPr="00F509BC" w:rsidRDefault="00167F1E" w:rsidP="00253A13">
            <w:pPr>
              <w:tabs>
                <w:tab w:val="center" w:pos="4320"/>
                <w:tab w:val="right" w:pos="8640"/>
              </w:tabs>
              <w:rPr>
                <w:rFonts w:ascii="Arial Narrow" w:hAnsi="Arial Narrow"/>
                <w:b/>
                <w:sz w:val="20"/>
                <w:szCs w:val="20"/>
              </w:rPr>
            </w:pPr>
            <w:r w:rsidRPr="00F509BC">
              <w:rPr>
                <w:rFonts w:ascii="Arial Narrow" w:hAnsi="Arial Narrow"/>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167F1E" w:rsidRPr="00F509BC" w:rsidRDefault="00167F1E" w:rsidP="00253A13">
            <w:pPr>
              <w:tabs>
                <w:tab w:val="center" w:pos="4320"/>
                <w:tab w:val="right" w:pos="8640"/>
              </w:tabs>
              <w:rPr>
                <w:rFonts w:ascii="Arial Narrow" w:hAnsi="Arial Narrow"/>
                <w:sz w:val="20"/>
                <w:szCs w:val="20"/>
              </w:rPr>
            </w:pPr>
            <w:r w:rsidRPr="00F509BC">
              <w:rPr>
                <w:rFonts w:ascii="Arial Narrow" w:hAnsi="Arial Narrow"/>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167F1E" w:rsidRPr="00F509BC" w:rsidRDefault="00167F1E" w:rsidP="00253A13">
            <w:pPr>
              <w:tabs>
                <w:tab w:val="center" w:pos="4320"/>
                <w:tab w:val="right" w:pos="8640"/>
              </w:tabs>
              <w:rPr>
                <w:rFonts w:ascii="Arial Narrow" w:hAnsi="Arial Narrow"/>
                <w:sz w:val="20"/>
                <w:szCs w:val="20"/>
              </w:rPr>
            </w:pPr>
            <w:r w:rsidRPr="00F509BC">
              <w:rPr>
                <w:rFonts w:ascii="Arial Narrow" w:hAnsi="Arial Narrow"/>
                <w:sz w:val="20"/>
                <w:szCs w:val="20"/>
              </w:rPr>
              <w:t>Closing date</w:t>
            </w:r>
          </w:p>
        </w:tc>
      </w:tr>
      <w:tr w:rsidR="00167F1E" w:rsidRPr="00F509BC" w:rsidTr="00253A13">
        <w:tc>
          <w:tcPr>
            <w:tcW w:w="0" w:type="auto"/>
            <w:vMerge/>
            <w:tcBorders>
              <w:top w:val="single" w:sz="4" w:space="0" w:color="auto"/>
              <w:left w:val="single" w:sz="4" w:space="0" w:color="auto"/>
              <w:bottom w:val="single" w:sz="4" w:space="0" w:color="auto"/>
              <w:right w:val="single" w:sz="4" w:space="0" w:color="auto"/>
            </w:tcBorders>
            <w:vAlign w:val="center"/>
          </w:tcPr>
          <w:p w:rsidR="00167F1E" w:rsidRPr="00F509BC" w:rsidRDefault="00167F1E" w:rsidP="00253A13">
            <w:pPr>
              <w:tabs>
                <w:tab w:val="center" w:pos="4320"/>
                <w:tab w:val="right" w:pos="8640"/>
              </w:tabs>
              <w:rPr>
                <w:rFonts w:ascii="Arial Narrow" w:hAnsi="Arial Narrow"/>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167F1E" w:rsidRPr="00F509BC" w:rsidRDefault="007265C0" w:rsidP="00253A13">
            <w:pPr>
              <w:tabs>
                <w:tab w:val="center" w:pos="4320"/>
                <w:tab w:val="right" w:pos="8640"/>
              </w:tabs>
              <w:rPr>
                <w:rFonts w:ascii="Arial Narrow" w:hAnsi="Arial Narrow"/>
                <w:sz w:val="20"/>
                <w:szCs w:val="20"/>
              </w:rPr>
            </w:pPr>
            <w:r>
              <w:rPr>
                <w:rFonts w:ascii="Arial Narrow" w:hAnsi="Arial Narrow"/>
                <w:sz w:val="20"/>
                <w:szCs w:val="20"/>
              </w:rPr>
              <w:t>07/04/2022</w:t>
            </w:r>
          </w:p>
        </w:tc>
        <w:tc>
          <w:tcPr>
            <w:tcW w:w="2970" w:type="dxa"/>
            <w:tcBorders>
              <w:top w:val="single" w:sz="4" w:space="0" w:color="auto"/>
              <w:left w:val="single" w:sz="4" w:space="0" w:color="auto"/>
              <w:bottom w:val="single" w:sz="4" w:space="0" w:color="auto"/>
              <w:right w:val="single" w:sz="4" w:space="0" w:color="auto"/>
            </w:tcBorders>
          </w:tcPr>
          <w:p w:rsidR="00167F1E" w:rsidRPr="00F509BC" w:rsidRDefault="007265C0" w:rsidP="00253A13">
            <w:pPr>
              <w:tabs>
                <w:tab w:val="center" w:pos="4320"/>
                <w:tab w:val="right" w:pos="8640"/>
              </w:tabs>
              <w:rPr>
                <w:rFonts w:ascii="Arial Narrow" w:hAnsi="Arial Narrow"/>
                <w:sz w:val="20"/>
                <w:szCs w:val="20"/>
              </w:rPr>
            </w:pPr>
            <w:r>
              <w:rPr>
                <w:rFonts w:ascii="Arial Narrow" w:hAnsi="Arial Narrow"/>
                <w:sz w:val="20"/>
                <w:szCs w:val="20"/>
              </w:rPr>
              <w:t>06/05/2022</w:t>
            </w:r>
          </w:p>
        </w:tc>
      </w:tr>
      <w:tr w:rsidR="00167F1E" w:rsidRPr="00F509BC" w:rsidTr="00253A13">
        <w:tc>
          <w:tcPr>
            <w:tcW w:w="2178" w:type="dxa"/>
            <w:tcBorders>
              <w:top w:val="single" w:sz="4" w:space="0" w:color="auto"/>
              <w:left w:val="single" w:sz="4" w:space="0" w:color="auto"/>
              <w:bottom w:val="single" w:sz="4" w:space="0" w:color="auto"/>
              <w:right w:val="single" w:sz="4" w:space="0" w:color="auto"/>
            </w:tcBorders>
          </w:tcPr>
          <w:p w:rsidR="00167F1E" w:rsidRPr="00F509BC" w:rsidRDefault="00167F1E" w:rsidP="00253A13">
            <w:pPr>
              <w:tabs>
                <w:tab w:val="center" w:pos="4320"/>
                <w:tab w:val="right" w:pos="8640"/>
              </w:tabs>
              <w:rPr>
                <w:rFonts w:ascii="Arial Narrow" w:hAnsi="Arial Narrow"/>
                <w:b/>
                <w:sz w:val="20"/>
                <w:szCs w:val="20"/>
              </w:rPr>
            </w:pPr>
            <w:r w:rsidRPr="00F509BC">
              <w:rPr>
                <w:rFonts w:ascii="Arial Narrow" w:hAnsi="Arial Narrow"/>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167F1E" w:rsidRPr="00F509BC" w:rsidRDefault="00167F1E" w:rsidP="007265C0">
            <w:pPr>
              <w:tabs>
                <w:tab w:val="center" w:pos="4320"/>
                <w:tab w:val="right" w:pos="8640"/>
              </w:tabs>
              <w:rPr>
                <w:rFonts w:ascii="Arial Narrow" w:hAnsi="Arial Narrow"/>
                <w:sz w:val="20"/>
                <w:szCs w:val="20"/>
              </w:rPr>
            </w:pPr>
            <w:r w:rsidRPr="00F509BC">
              <w:rPr>
                <w:rFonts w:ascii="Arial Narrow" w:hAnsi="Arial Narrow" w:cs="Arial"/>
                <w:b/>
                <w:bCs/>
                <w:sz w:val="20"/>
                <w:szCs w:val="20"/>
              </w:rPr>
              <w:t xml:space="preserve">This form shall be filled, signed and returned to Kenya Bureau of Standards for the attention of </w:t>
            </w:r>
            <w:r w:rsidR="007265C0">
              <w:rPr>
                <w:rFonts w:ascii="Arial Narrow" w:hAnsi="Arial Narrow" w:cs="Arial"/>
                <w:bCs/>
                <w:sz w:val="20"/>
                <w:szCs w:val="20"/>
              </w:rPr>
              <w:t>PETER MUTUA</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The Kenya Bureau of Standards intends to adopt the International Standards as detailed here below </w:t>
      </w:r>
    </w:p>
    <w:p w:rsidR="0024315A" w:rsidRPr="00556197" w:rsidRDefault="0024315A" w:rsidP="00084195">
      <w:pPr>
        <w:autoSpaceDE w:val="0"/>
        <w:autoSpaceDN w:val="0"/>
        <w:adjustRightInd w:val="0"/>
        <w:jc w:val="both"/>
        <w:rPr>
          <w:rFonts w:ascii="Arial Narrow" w:hAnsi="Arial Narrow" w:cs="Arial"/>
          <w:sz w:val="20"/>
          <w:szCs w:val="20"/>
        </w:rPr>
      </w:pPr>
    </w:p>
    <w:p w:rsidR="0024315A" w:rsidRPr="00AC3F22" w:rsidRDefault="00084195" w:rsidP="00AC3F22">
      <w:pPr>
        <w:pStyle w:val="ListParagraph"/>
        <w:numPr>
          <w:ilvl w:val="0"/>
          <w:numId w:val="123"/>
        </w:numPr>
        <w:autoSpaceDE w:val="0"/>
        <w:autoSpaceDN w:val="0"/>
        <w:adjustRightInd w:val="0"/>
        <w:jc w:val="both"/>
        <w:rPr>
          <w:rFonts w:ascii="Arial Narrow" w:hAnsi="Arial Narrow" w:cs="Arial"/>
          <w:sz w:val="20"/>
          <w:szCs w:val="20"/>
          <w:u w:val="single"/>
        </w:rPr>
      </w:pPr>
      <w:r w:rsidRPr="00AC3F22">
        <w:rPr>
          <w:rFonts w:ascii="Arial Narrow" w:hAnsi="Arial Narrow" w:cs="Arial"/>
          <w:b/>
          <w:sz w:val="20"/>
          <w:szCs w:val="20"/>
          <w:u w:val="single"/>
        </w:rPr>
        <w:t>Number</w:t>
      </w:r>
      <w:r w:rsidR="0024315A" w:rsidRPr="00AC3F22">
        <w:rPr>
          <w:rFonts w:ascii="Arial Narrow" w:hAnsi="Arial Narrow" w:cs="Arial"/>
          <w:sz w:val="20"/>
          <w:szCs w:val="20"/>
          <w:u w:val="single"/>
        </w:rPr>
        <w:t>:</w:t>
      </w:r>
      <w:r w:rsidRPr="00AC3F22">
        <w:rPr>
          <w:rFonts w:ascii="Arial Narrow" w:hAnsi="Arial Narrow" w:cs="Arial"/>
          <w:sz w:val="20"/>
          <w:szCs w:val="20"/>
          <w:u w:val="single"/>
        </w:rPr>
        <w:t xml:space="preserve"> </w:t>
      </w:r>
      <w:r w:rsidR="0024315A" w:rsidRPr="00AC3F22">
        <w:rPr>
          <w:rFonts w:ascii="Arial Narrow" w:hAnsi="Arial Narrow" w:cs="Arial"/>
          <w:sz w:val="20"/>
          <w:szCs w:val="20"/>
          <w:u w:val="single"/>
        </w:rPr>
        <w:t xml:space="preserve">ISO </w:t>
      </w:r>
      <w:r w:rsidR="00AC3F22" w:rsidRPr="00AC3F22">
        <w:rPr>
          <w:rFonts w:ascii="Arial Narrow" w:hAnsi="Arial Narrow" w:cs="Arial"/>
          <w:sz w:val="20"/>
          <w:szCs w:val="20"/>
          <w:u w:val="single"/>
        </w:rPr>
        <w:t>8282-1:2008</w:t>
      </w:r>
    </w:p>
    <w:p w:rsidR="0024315A" w:rsidRDefault="0024315A" w:rsidP="00AC3F22">
      <w:pPr>
        <w:autoSpaceDE w:val="0"/>
        <w:autoSpaceDN w:val="0"/>
        <w:adjustRightInd w:val="0"/>
        <w:jc w:val="both"/>
        <w:rPr>
          <w:rFonts w:ascii="Arial Narrow" w:hAnsi="Arial Narrow" w:cs="Arial"/>
          <w:sz w:val="20"/>
          <w:szCs w:val="20"/>
        </w:rPr>
      </w:pPr>
    </w:p>
    <w:p w:rsidR="00084195" w:rsidRDefault="00084195" w:rsidP="00AC3F22">
      <w:pPr>
        <w:autoSpaceDE w:val="0"/>
        <w:autoSpaceDN w:val="0"/>
        <w:adjustRightInd w:val="0"/>
        <w:ind w:left="720"/>
        <w:jc w:val="both"/>
        <w:rPr>
          <w:rFonts w:ascii="Arial Narrow" w:hAnsi="Arial Narrow" w:cs="Arial"/>
          <w:sz w:val="20"/>
          <w:szCs w:val="20"/>
        </w:rPr>
      </w:pPr>
      <w:r w:rsidRPr="00AC3F22">
        <w:rPr>
          <w:rFonts w:ascii="Arial Narrow" w:hAnsi="Arial Narrow" w:cs="Arial"/>
          <w:b/>
          <w:sz w:val="20"/>
          <w:szCs w:val="20"/>
        </w:rPr>
        <w:t>Title</w:t>
      </w:r>
      <w:r w:rsidR="0024315A" w:rsidRPr="00AC3F22">
        <w:rPr>
          <w:rFonts w:ascii="Arial Narrow" w:hAnsi="Arial Narrow" w:cs="Arial"/>
          <w:b/>
          <w:sz w:val="20"/>
          <w:szCs w:val="20"/>
        </w:rPr>
        <w:t>:</w:t>
      </w:r>
      <w:r w:rsidRPr="00556197">
        <w:rPr>
          <w:rFonts w:ascii="Arial Narrow" w:hAnsi="Arial Narrow" w:cs="Arial"/>
          <w:sz w:val="20"/>
          <w:szCs w:val="20"/>
        </w:rPr>
        <w:t xml:space="preserve"> </w:t>
      </w:r>
      <w:r w:rsidR="00AC3F22" w:rsidRPr="00AC3F22">
        <w:rPr>
          <w:rFonts w:ascii="Arial Narrow" w:hAnsi="Arial Narrow" w:cs="Arial"/>
          <w:sz w:val="20"/>
          <w:szCs w:val="20"/>
        </w:rPr>
        <w:t>ANIMAL AND VEGETABLE FATS AND OILS — DETERMINATION OF SOLID FAT CONTENT BY PULSED NMR — PART 1: DIRECT METHOD</w:t>
      </w:r>
    </w:p>
    <w:p w:rsidR="0024315A" w:rsidRPr="00556197" w:rsidRDefault="0024315A" w:rsidP="00AC3F22">
      <w:pPr>
        <w:autoSpaceDE w:val="0"/>
        <w:autoSpaceDN w:val="0"/>
        <w:adjustRightInd w:val="0"/>
        <w:ind w:left="720"/>
        <w:jc w:val="both"/>
        <w:rPr>
          <w:rFonts w:ascii="Arial Narrow" w:hAnsi="Arial Narrow" w:cs="Arial"/>
          <w:sz w:val="20"/>
          <w:szCs w:val="20"/>
        </w:rPr>
      </w:pPr>
    </w:p>
    <w:p w:rsidR="00AC3F22" w:rsidRPr="00AC3F22" w:rsidRDefault="00084195" w:rsidP="00AC3F22">
      <w:pPr>
        <w:autoSpaceDE w:val="0"/>
        <w:autoSpaceDN w:val="0"/>
        <w:adjustRightInd w:val="0"/>
        <w:spacing w:before="120" w:after="120"/>
        <w:ind w:left="720"/>
        <w:jc w:val="both"/>
        <w:rPr>
          <w:rFonts w:ascii="Arial" w:hAnsi="Arial" w:cs="Arial"/>
          <w:sz w:val="18"/>
          <w:szCs w:val="18"/>
          <w:lang w:val="en-GB"/>
        </w:rPr>
      </w:pPr>
      <w:r w:rsidRPr="00AC3F22">
        <w:rPr>
          <w:rFonts w:ascii="Arial Narrow" w:hAnsi="Arial Narrow" w:cs="Arial"/>
          <w:b/>
          <w:sz w:val="20"/>
          <w:szCs w:val="20"/>
        </w:rPr>
        <w:t>Scope</w:t>
      </w:r>
      <w:r w:rsidRPr="00556197">
        <w:rPr>
          <w:rFonts w:ascii="Arial Narrow" w:hAnsi="Arial Narrow" w:cs="Arial"/>
          <w:sz w:val="20"/>
          <w:szCs w:val="20"/>
        </w:rPr>
        <w:t>:</w:t>
      </w:r>
      <w:r w:rsidR="0024315A" w:rsidRPr="0024315A">
        <w:rPr>
          <w:rFonts w:ascii="Arial" w:hAnsi="Arial" w:cs="Arial"/>
          <w:sz w:val="18"/>
          <w:szCs w:val="18"/>
          <w:lang w:val="en-GB"/>
        </w:rPr>
        <w:t xml:space="preserve"> </w:t>
      </w:r>
      <w:r w:rsidR="00AC3F22" w:rsidRPr="00AC3F22">
        <w:rPr>
          <w:rFonts w:ascii="Arial" w:hAnsi="Arial" w:cs="Arial"/>
          <w:sz w:val="18"/>
          <w:szCs w:val="18"/>
          <w:lang w:val="en-GB"/>
        </w:rPr>
        <w:t>This part of ISO 8292 specifies a direct method for the determination of solid fat content in animal and vegetable fats and oils (hereafter designated “fats”) using low-resolution pulsed nuclear magnetic resonance (NMR) spectrometry.</w:t>
      </w:r>
    </w:p>
    <w:p w:rsidR="00AC3F22" w:rsidRPr="00AC3F22" w:rsidRDefault="00AC3F22" w:rsidP="00AC3F22">
      <w:pPr>
        <w:autoSpaceDE w:val="0"/>
        <w:autoSpaceDN w:val="0"/>
        <w:adjustRightInd w:val="0"/>
        <w:spacing w:before="120" w:after="120"/>
        <w:ind w:left="720"/>
        <w:jc w:val="both"/>
        <w:rPr>
          <w:rFonts w:ascii="Arial" w:hAnsi="Arial" w:cs="Arial"/>
          <w:sz w:val="18"/>
          <w:szCs w:val="18"/>
          <w:lang w:val="en-GB"/>
        </w:rPr>
      </w:pPr>
      <w:r w:rsidRPr="00AC3F22">
        <w:rPr>
          <w:rFonts w:ascii="Arial" w:hAnsi="Arial" w:cs="Arial"/>
          <w:sz w:val="18"/>
          <w:szCs w:val="18"/>
          <w:lang w:val="en-GB"/>
        </w:rPr>
        <w:t>Two alternative thermal pre-treatments are specified: one for general purpose fats not exhibiting pronounced polymorphism and which stabilize mainly in the β′-polymorph; and one for fats similar to cocoa butter which exhibit pronounced polymorphism and stabilize in the β-polymorph. Additional thermal pre-treatments, which may be more suitable for specific purposes, are given in an informative annex.</w:t>
      </w:r>
    </w:p>
    <w:p w:rsidR="00AC3F22" w:rsidRPr="00AC3F22" w:rsidRDefault="00AC3F22" w:rsidP="00AC3F22">
      <w:pPr>
        <w:autoSpaceDE w:val="0"/>
        <w:autoSpaceDN w:val="0"/>
        <w:adjustRightInd w:val="0"/>
        <w:spacing w:before="120" w:after="120"/>
        <w:ind w:left="720"/>
        <w:jc w:val="both"/>
        <w:rPr>
          <w:rFonts w:ascii="Arial" w:hAnsi="Arial" w:cs="Arial"/>
          <w:sz w:val="18"/>
          <w:szCs w:val="18"/>
          <w:lang w:val="en-GB"/>
        </w:rPr>
      </w:pPr>
      <w:r w:rsidRPr="00AC3F22">
        <w:rPr>
          <w:rFonts w:ascii="Arial" w:hAnsi="Arial" w:cs="Arial"/>
          <w:sz w:val="18"/>
          <w:szCs w:val="18"/>
          <w:lang w:val="en-GB"/>
        </w:rPr>
        <w:t>The direct method is easy to carry out and is reproducible, but is not as accurate as the indirect method due to the approximate method of calculation.</w:t>
      </w:r>
    </w:p>
    <w:p w:rsidR="00084195" w:rsidRPr="00556197"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w:hAnsi="Arial" w:cs="Arial"/>
          <w:sz w:val="18"/>
          <w:szCs w:val="18"/>
          <w:lang w:val="en-GB"/>
        </w:rPr>
        <w:t xml:space="preserve">NOTE </w:t>
      </w:r>
      <w:proofErr w:type="gramStart"/>
      <w:r w:rsidRPr="00AC3F22">
        <w:rPr>
          <w:rFonts w:ascii="Arial" w:hAnsi="Arial" w:cs="Arial"/>
          <w:sz w:val="18"/>
          <w:szCs w:val="18"/>
          <w:lang w:val="en-GB"/>
        </w:rPr>
        <w:t>An</w:t>
      </w:r>
      <w:proofErr w:type="gramEnd"/>
      <w:r w:rsidRPr="00AC3F22">
        <w:rPr>
          <w:rFonts w:ascii="Arial" w:hAnsi="Arial" w:cs="Arial"/>
          <w:sz w:val="18"/>
          <w:szCs w:val="18"/>
          <w:lang w:val="en-GB"/>
        </w:rPr>
        <w:t xml:space="preserve"> indirect method is specified in ISO 8292-2.</w:t>
      </w:r>
    </w:p>
    <w:p w:rsidR="00AC3F22" w:rsidRDefault="00AC3F22" w:rsidP="00084195">
      <w:pPr>
        <w:autoSpaceDE w:val="0"/>
        <w:autoSpaceDN w:val="0"/>
        <w:adjustRightInd w:val="0"/>
        <w:jc w:val="both"/>
        <w:rPr>
          <w:rFonts w:ascii="Arial Narrow" w:hAnsi="Arial Narrow" w:cs="Arial"/>
          <w:sz w:val="20"/>
          <w:szCs w:val="20"/>
        </w:rPr>
      </w:pPr>
    </w:p>
    <w:p w:rsidR="00AC3F22" w:rsidRPr="00AC3F22" w:rsidRDefault="00AC3F22" w:rsidP="00AC3F22">
      <w:pPr>
        <w:pStyle w:val="ListParagraph"/>
        <w:numPr>
          <w:ilvl w:val="0"/>
          <w:numId w:val="123"/>
        </w:numPr>
        <w:autoSpaceDE w:val="0"/>
        <w:autoSpaceDN w:val="0"/>
        <w:adjustRightInd w:val="0"/>
        <w:spacing w:before="120" w:after="120"/>
        <w:jc w:val="both"/>
        <w:rPr>
          <w:rFonts w:ascii="Arial Narrow" w:hAnsi="Arial Narrow" w:cs="Arial"/>
          <w:sz w:val="20"/>
          <w:szCs w:val="20"/>
        </w:rPr>
      </w:pPr>
      <w:r w:rsidRPr="00AC3F22">
        <w:rPr>
          <w:rFonts w:ascii="Arial Narrow" w:hAnsi="Arial Narrow" w:cs="Arial"/>
          <w:b/>
          <w:sz w:val="20"/>
          <w:szCs w:val="20"/>
          <w:u w:val="single"/>
        </w:rPr>
        <w:t>Number</w:t>
      </w:r>
      <w:r w:rsidRPr="00AC3F22">
        <w:rPr>
          <w:rFonts w:ascii="Arial Narrow" w:hAnsi="Arial Narrow" w:cs="Arial"/>
          <w:sz w:val="20"/>
          <w:szCs w:val="20"/>
          <w:u w:val="single"/>
        </w:rPr>
        <w:t>: ISO 8292-2:2008</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Title</w:t>
      </w:r>
      <w:r>
        <w:rPr>
          <w:rFonts w:ascii="Arial Narrow" w:hAnsi="Arial Narrow" w:cs="Arial"/>
          <w:sz w:val="20"/>
          <w:szCs w:val="20"/>
        </w:rPr>
        <w:t xml:space="preserve">: </w:t>
      </w:r>
      <w:r w:rsidRPr="00AC3F22">
        <w:rPr>
          <w:rFonts w:ascii="Arial Narrow" w:hAnsi="Arial Narrow" w:cs="Arial"/>
          <w:sz w:val="20"/>
          <w:szCs w:val="20"/>
        </w:rPr>
        <w:t>ANIMAL AND VEGETABLE FATS AND OILS — DETERMINATION OF SOLID FAT CONTENT BY PULSED NMR — PART 2: INDIRECT METHOD</w:t>
      </w:r>
    </w:p>
    <w:p w:rsidR="00AC3F22" w:rsidRP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Scope:</w:t>
      </w:r>
      <w:r>
        <w:rPr>
          <w:rFonts w:ascii="Arial Narrow" w:hAnsi="Arial Narrow" w:cs="Arial"/>
          <w:sz w:val="20"/>
          <w:szCs w:val="20"/>
        </w:rPr>
        <w:t xml:space="preserve"> </w:t>
      </w:r>
      <w:r w:rsidRPr="00AC3F22">
        <w:rPr>
          <w:rFonts w:ascii="Arial Narrow" w:hAnsi="Arial Narrow" w:cs="Arial"/>
          <w:sz w:val="20"/>
          <w:szCs w:val="20"/>
        </w:rPr>
        <w:t>This part of ISO 8292 specifies an indirect method for the determination of the solid fat content in animal and vegetable fats and oils (hereafter designated “fats”) using low-resolution pulsed nuclear magnetic resonance (NMR) spectrometry.</w:t>
      </w:r>
    </w:p>
    <w:p w:rsidR="00AC3F22" w:rsidRP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sz w:val="20"/>
          <w:szCs w:val="20"/>
        </w:rPr>
        <w:t>Two alternative thermal pre-treatments are specified: one for general purpose fats not exhibiting pronounced polymorphism and which stabilize mainly in the β′-polymorph; and one for fats similar to cocoa butter which exhibit pronounced polymorphism and stabilize in the β-polymorph. Additional thermal pre-treatments, which may be more suitable for specific purposes, are given in an informative annex.</w:t>
      </w:r>
    </w:p>
    <w:p w:rsidR="00AC3F22" w:rsidRP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sz w:val="20"/>
          <w:szCs w:val="20"/>
        </w:rPr>
        <w:t>The indirect method is less easy to carry out and less reproducible than the direct method, but is more accurate and more universally applicable to all fats.</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sz w:val="20"/>
          <w:szCs w:val="20"/>
        </w:rPr>
        <w:t>NOTE A direct method is specified in ISO 8292-1.</w:t>
      </w:r>
    </w:p>
    <w:p w:rsidR="00AC3F22" w:rsidRDefault="00AC3F22" w:rsidP="00084195">
      <w:pPr>
        <w:autoSpaceDE w:val="0"/>
        <w:autoSpaceDN w:val="0"/>
        <w:adjustRightInd w:val="0"/>
        <w:jc w:val="both"/>
        <w:rPr>
          <w:rFonts w:ascii="Arial Narrow" w:hAnsi="Arial Narrow" w:cs="Arial"/>
          <w:sz w:val="20"/>
          <w:szCs w:val="20"/>
        </w:rPr>
      </w:pPr>
    </w:p>
    <w:p w:rsidR="00AC3F22" w:rsidRPr="00AC3F22" w:rsidRDefault="00AC3F22" w:rsidP="00AC3F22">
      <w:pPr>
        <w:pStyle w:val="ListParagraph"/>
        <w:numPr>
          <w:ilvl w:val="0"/>
          <w:numId w:val="123"/>
        </w:numPr>
        <w:autoSpaceDE w:val="0"/>
        <w:autoSpaceDN w:val="0"/>
        <w:adjustRightInd w:val="0"/>
        <w:spacing w:before="120" w:after="120"/>
        <w:jc w:val="both"/>
        <w:rPr>
          <w:rFonts w:ascii="Arial Narrow" w:hAnsi="Arial Narrow" w:cs="Arial"/>
          <w:sz w:val="20"/>
          <w:szCs w:val="20"/>
          <w:u w:val="single"/>
        </w:rPr>
      </w:pPr>
      <w:r w:rsidRPr="00AC3F22">
        <w:rPr>
          <w:rFonts w:ascii="Arial Narrow" w:hAnsi="Arial Narrow" w:cs="Arial"/>
          <w:b/>
          <w:sz w:val="20"/>
          <w:szCs w:val="20"/>
          <w:u w:val="single"/>
        </w:rPr>
        <w:t>Number</w:t>
      </w:r>
      <w:r w:rsidRPr="00AC3F22">
        <w:rPr>
          <w:rFonts w:ascii="Arial Narrow" w:hAnsi="Arial Narrow" w:cs="Arial"/>
          <w:sz w:val="20"/>
          <w:szCs w:val="20"/>
          <w:u w:val="single"/>
        </w:rPr>
        <w:t xml:space="preserve">: ISO 12228-1:2014 </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Title</w:t>
      </w:r>
      <w:r>
        <w:rPr>
          <w:rFonts w:ascii="Arial Narrow" w:hAnsi="Arial Narrow" w:cs="Arial"/>
          <w:sz w:val="20"/>
          <w:szCs w:val="20"/>
        </w:rPr>
        <w:t xml:space="preserve">: </w:t>
      </w:r>
      <w:r w:rsidRPr="00AC3F22">
        <w:rPr>
          <w:rFonts w:ascii="Arial Narrow" w:hAnsi="Arial Narrow" w:cs="Arial"/>
          <w:sz w:val="20"/>
          <w:szCs w:val="20"/>
        </w:rPr>
        <w:t>DETERMINATION OF INDIVIDUAL AND TOTAL STEROLS CONTENTS — GAS CHROMATOGRAPHIC METHOD — PART 1: ANIMAL AND VEGETABLE FATS AND OILS</w:t>
      </w:r>
    </w:p>
    <w:p w:rsidR="00AC3F22" w:rsidRP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Scope:</w:t>
      </w:r>
      <w:r>
        <w:rPr>
          <w:rFonts w:ascii="Arial Narrow" w:hAnsi="Arial Narrow" w:cs="Arial"/>
          <w:sz w:val="20"/>
          <w:szCs w:val="20"/>
        </w:rPr>
        <w:t xml:space="preserve"> </w:t>
      </w:r>
      <w:r w:rsidRPr="00AC3F22">
        <w:rPr>
          <w:rFonts w:ascii="Arial Narrow" w:hAnsi="Arial Narrow" w:cs="Arial"/>
          <w:sz w:val="20"/>
          <w:szCs w:val="20"/>
        </w:rPr>
        <w:t>This part of ISO 12228 specifies a procedure for the gas chromatographic determination of the content and composition of sterols in animal and vegetable fats and oils. However, the determination of the contents and composition of sterols in olive and olive pomace oils is to be carried out using ISO 12228-2.</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sz w:val="20"/>
          <w:szCs w:val="20"/>
        </w:rPr>
        <w:t>NOTE This part of ISO 12228 is technically identical to IOC Standard COI/T.20/Doc. No. 30 (November 2011).</w:t>
      </w:r>
    </w:p>
    <w:p w:rsidR="00AC3F22" w:rsidRDefault="00AC3F22" w:rsidP="00084195">
      <w:pPr>
        <w:autoSpaceDE w:val="0"/>
        <w:autoSpaceDN w:val="0"/>
        <w:adjustRightInd w:val="0"/>
        <w:jc w:val="both"/>
        <w:rPr>
          <w:rFonts w:ascii="Arial Narrow" w:hAnsi="Arial Narrow" w:cs="Arial"/>
          <w:sz w:val="20"/>
          <w:szCs w:val="20"/>
        </w:rPr>
      </w:pPr>
    </w:p>
    <w:p w:rsidR="00AC3F22" w:rsidRPr="00AC3F22" w:rsidRDefault="00AC3F22" w:rsidP="00AC3F22">
      <w:pPr>
        <w:pStyle w:val="ListParagraph"/>
        <w:numPr>
          <w:ilvl w:val="0"/>
          <w:numId w:val="123"/>
        </w:numPr>
        <w:autoSpaceDE w:val="0"/>
        <w:autoSpaceDN w:val="0"/>
        <w:adjustRightInd w:val="0"/>
        <w:spacing w:before="120" w:after="120"/>
        <w:jc w:val="both"/>
        <w:rPr>
          <w:rFonts w:ascii="Arial Narrow" w:hAnsi="Arial Narrow" w:cs="Arial"/>
          <w:sz w:val="20"/>
          <w:szCs w:val="20"/>
          <w:u w:val="single"/>
        </w:rPr>
      </w:pPr>
      <w:r w:rsidRPr="00AC3F22">
        <w:rPr>
          <w:rFonts w:ascii="Arial Narrow" w:hAnsi="Arial Narrow" w:cs="Arial"/>
          <w:b/>
          <w:sz w:val="20"/>
          <w:szCs w:val="20"/>
          <w:u w:val="single"/>
        </w:rPr>
        <w:lastRenderedPageBreak/>
        <w:t>Number:</w:t>
      </w:r>
      <w:r w:rsidRPr="00AC3F22">
        <w:rPr>
          <w:rFonts w:ascii="Arial Narrow" w:hAnsi="Arial Narrow" w:cs="Arial"/>
          <w:sz w:val="20"/>
          <w:szCs w:val="20"/>
          <w:u w:val="single"/>
        </w:rPr>
        <w:t xml:space="preserve"> </w:t>
      </w:r>
      <w:r w:rsidRPr="00AC3F22">
        <w:rPr>
          <w:rFonts w:ascii="Arial Narrow" w:hAnsi="Arial Narrow" w:cs="Arial"/>
          <w:sz w:val="20"/>
          <w:szCs w:val="20"/>
          <w:u w:val="single"/>
        </w:rPr>
        <w:t>ISO 12228-2:2014</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Title:</w:t>
      </w:r>
      <w:r>
        <w:rPr>
          <w:rFonts w:ascii="Arial Narrow" w:hAnsi="Arial Narrow" w:cs="Arial"/>
          <w:sz w:val="20"/>
          <w:szCs w:val="20"/>
        </w:rPr>
        <w:t xml:space="preserve"> </w:t>
      </w:r>
      <w:r w:rsidRPr="00AC3F22">
        <w:rPr>
          <w:rFonts w:ascii="Arial Narrow" w:hAnsi="Arial Narrow" w:cs="Arial"/>
          <w:sz w:val="20"/>
          <w:szCs w:val="20"/>
        </w:rPr>
        <w:t>DETERMINATION OF INDIVIDUAL AND TOTAL STEROLS CONTENTS — GAS CHROMATOGRAPHIC METHOD — PART 2: OLIVE OILS AND OLIVE POMACE OILS</w:t>
      </w:r>
    </w:p>
    <w:p w:rsidR="00AC3F22" w:rsidRP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b/>
          <w:sz w:val="20"/>
          <w:szCs w:val="20"/>
        </w:rPr>
        <w:t>Scope:</w:t>
      </w:r>
      <w:r>
        <w:rPr>
          <w:rFonts w:ascii="Arial Narrow" w:hAnsi="Arial Narrow" w:cs="Arial"/>
          <w:sz w:val="20"/>
          <w:szCs w:val="20"/>
        </w:rPr>
        <w:t xml:space="preserve"> </w:t>
      </w:r>
      <w:r w:rsidRPr="00AC3F22">
        <w:rPr>
          <w:rFonts w:ascii="Arial Narrow" w:hAnsi="Arial Narrow" w:cs="Arial"/>
          <w:sz w:val="20"/>
          <w:szCs w:val="20"/>
        </w:rPr>
        <w:t>This part of ISO 12228 specifies a procedure for</w:t>
      </w:r>
      <w:bookmarkStart w:id="15" w:name="_GoBack"/>
      <w:bookmarkEnd w:id="15"/>
      <w:r w:rsidRPr="00AC3F22">
        <w:rPr>
          <w:rFonts w:ascii="Arial Narrow" w:hAnsi="Arial Narrow" w:cs="Arial"/>
          <w:sz w:val="20"/>
          <w:szCs w:val="20"/>
        </w:rPr>
        <w:t xml:space="preserve"> the gas chromatographic determination of the contents and composition of sterols and triterpene </w:t>
      </w:r>
      <w:proofErr w:type="spellStart"/>
      <w:r w:rsidRPr="00AC3F22">
        <w:rPr>
          <w:rFonts w:ascii="Arial Narrow" w:hAnsi="Arial Narrow" w:cs="Arial"/>
          <w:sz w:val="20"/>
          <w:szCs w:val="20"/>
        </w:rPr>
        <w:t>dialcohols</w:t>
      </w:r>
      <w:proofErr w:type="spellEnd"/>
      <w:r w:rsidRPr="00AC3F22">
        <w:rPr>
          <w:rFonts w:ascii="Arial Narrow" w:hAnsi="Arial Narrow" w:cs="Arial"/>
          <w:sz w:val="20"/>
          <w:szCs w:val="20"/>
        </w:rPr>
        <w:t xml:space="preserve"> in olive and olive pomace oils. For the determination of the contents and composition of sterols in all other animal and vegetable fats and oils, ISO 12228-1 is to be used.</w:t>
      </w:r>
    </w:p>
    <w:p w:rsidR="00AC3F22" w:rsidRDefault="00AC3F22" w:rsidP="00AC3F22">
      <w:pPr>
        <w:autoSpaceDE w:val="0"/>
        <w:autoSpaceDN w:val="0"/>
        <w:adjustRightInd w:val="0"/>
        <w:spacing w:before="120" w:after="120"/>
        <w:ind w:left="720"/>
        <w:jc w:val="both"/>
        <w:rPr>
          <w:rFonts w:ascii="Arial Narrow" w:hAnsi="Arial Narrow" w:cs="Arial"/>
          <w:sz w:val="20"/>
          <w:szCs w:val="20"/>
        </w:rPr>
      </w:pPr>
      <w:r w:rsidRPr="00AC3F22">
        <w:rPr>
          <w:rFonts w:ascii="Arial Narrow" w:hAnsi="Arial Narrow" w:cs="Arial"/>
          <w:sz w:val="20"/>
          <w:szCs w:val="20"/>
        </w:rPr>
        <w:t>NOTE This part of ISO 12228 is technically identical to IOC Standard COI/T.20/Doc. No. 30 (November 2011).</w:t>
      </w:r>
    </w:p>
    <w:p w:rsidR="00AC3F22" w:rsidRDefault="00AC3F22" w:rsidP="00084195">
      <w:pPr>
        <w:autoSpaceDE w:val="0"/>
        <w:autoSpaceDN w:val="0"/>
        <w:adjustRightInd w:val="0"/>
        <w:jc w:val="both"/>
        <w:rPr>
          <w:rFonts w:ascii="Arial Narrow" w:hAnsi="Arial Narrow" w:cs="Arial"/>
          <w:sz w:val="20"/>
          <w:szCs w:val="20"/>
        </w:rPr>
      </w:pPr>
    </w:p>
    <w:p w:rsidR="00AC3F22" w:rsidRDefault="00AC3F22" w:rsidP="00084195">
      <w:pPr>
        <w:autoSpaceDE w:val="0"/>
        <w:autoSpaceDN w:val="0"/>
        <w:adjustRightInd w:val="0"/>
        <w:jc w:val="both"/>
        <w:rPr>
          <w:rFonts w:ascii="Arial Narrow" w:hAnsi="Arial Narrow" w:cs="Arial"/>
          <w:sz w:val="20"/>
          <w:szCs w:val="20"/>
        </w:rPr>
      </w:pPr>
    </w:p>
    <w:p w:rsidR="00AC3F22" w:rsidRDefault="00AC3F22"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AC3F22">
      <w:headerReference w:type="default" r:id="rId8"/>
      <w:footerReference w:type="default" r:id="rId9"/>
      <w:footerReference w:type="first" r:id="rId10"/>
      <w:pgSz w:w="11909" w:h="16834" w:code="9"/>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D9E" w:rsidRDefault="002E0D9E">
      <w:r>
        <w:separator/>
      </w:r>
    </w:p>
  </w:endnote>
  <w:endnote w:type="continuationSeparator" w:id="0">
    <w:p w:rsidR="002E0D9E" w:rsidRDefault="002E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D9E" w:rsidRDefault="002E0D9E">
      <w:r>
        <w:separator/>
      </w:r>
    </w:p>
  </w:footnote>
  <w:footnote w:type="continuationSeparator" w:id="0">
    <w:p w:rsidR="002E0D9E" w:rsidRDefault="002E0D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EEB0483"/>
    <w:multiLevelType w:val="hybridMultilevel"/>
    <w:tmpl w:val="782CB7A8"/>
    <w:lvl w:ilvl="0" w:tplc="ECE6C1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6"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9"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9"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2"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3"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2"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1"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6"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5"/>
  </w:num>
  <w:num w:numId="3">
    <w:abstractNumId w:val="71"/>
  </w:num>
  <w:num w:numId="4">
    <w:abstractNumId w:val="37"/>
  </w:num>
  <w:num w:numId="5">
    <w:abstractNumId w:val="33"/>
  </w:num>
  <w:num w:numId="6">
    <w:abstractNumId w:val="6"/>
  </w:num>
  <w:num w:numId="7">
    <w:abstractNumId w:val="14"/>
  </w:num>
  <w:num w:numId="8">
    <w:abstractNumId w:val="40"/>
  </w:num>
  <w:num w:numId="9">
    <w:abstractNumId w:val="42"/>
  </w:num>
  <w:num w:numId="10">
    <w:abstractNumId w:val="18"/>
  </w:num>
  <w:num w:numId="11">
    <w:abstractNumId w:val="58"/>
  </w:num>
  <w:num w:numId="12">
    <w:abstractNumId w:val="84"/>
  </w:num>
  <w:num w:numId="13">
    <w:abstractNumId w:val="51"/>
  </w:num>
  <w:num w:numId="14">
    <w:abstractNumId w:val="64"/>
  </w:num>
  <w:num w:numId="15">
    <w:abstractNumId w:val="38"/>
  </w:num>
  <w:num w:numId="16">
    <w:abstractNumId w:val="62"/>
    <w:lvlOverride w:ilvl="0">
      <w:startOverride w:val="1"/>
    </w:lvlOverride>
  </w:num>
  <w:num w:numId="17">
    <w:abstractNumId w:val="44"/>
  </w:num>
  <w:num w:numId="18">
    <w:abstractNumId w:val="79"/>
  </w:num>
  <w:num w:numId="19">
    <w:abstractNumId w:val="21"/>
  </w:num>
  <w:num w:numId="20">
    <w:abstractNumId w:val="55"/>
  </w:num>
  <w:num w:numId="21">
    <w:abstractNumId w:val="7"/>
  </w:num>
  <w:num w:numId="22">
    <w:abstractNumId w:val="72"/>
  </w:num>
  <w:num w:numId="23">
    <w:abstractNumId w:val="19"/>
  </w:num>
  <w:num w:numId="24">
    <w:abstractNumId w:val="1"/>
  </w:num>
  <w:num w:numId="25">
    <w:abstractNumId w:val="48"/>
  </w:num>
  <w:num w:numId="26">
    <w:abstractNumId w:val="10"/>
  </w:num>
  <w:num w:numId="27">
    <w:abstractNumId w:val="25"/>
  </w:num>
  <w:num w:numId="28">
    <w:abstractNumId w:val="81"/>
  </w:num>
  <w:num w:numId="29">
    <w:abstractNumId w:val="80"/>
  </w:num>
  <w:num w:numId="30">
    <w:abstractNumId w:val="31"/>
  </w:num>
  <w:num w:numId="31">
    <w:abstractNumId w:val="12"/>
  </w:num>
  <w:num w:numId="32">
    <w:abstractNumId w:val="9"/>
  </w:num>
  <w:num w:numId="33">
    <w:abstractNumId w:val="47"/>
  </w:num>
  <w:num w:numId="34">
    <w:abstractNumId w:val="61"/>
  </w:num>
  <w:num w:numId="35">
    <w:abstractNumId w:val="52"/>
  </w:num>
  <w:num w:numId="36">
    <w:abstractNumId w:val="54"/>
  </w:num>
  <w:num w:numId="37">
    <w:abstractNumId w:val="28"/>
  </w:num>
  <w:num w:numId="38">
    <w:abstractNumId w:val="49"/>
  </w:num>
  <w:num w:numId="39">
    <w:abstractNumId w:val="0"/>
  </w:num>
  <w:num w:numId="40">
    <w:abstractNumId w:val="83"/>
  </w:num>
  <w:num w:numId="41">
    <w:abstractNumId w:val="22"/>
  </w:num>
  <w:num w:numId="42">
    <w:abstractNumId w:val="20"/>
  </w:num>
  <w:num w:numId="43">
    <w:abstractNumId w:val="16"/>
  </w:num>
  <w:num w:numId="44">
    <w:abstractNumId w:val="5"/>
  </w:num>
  <w:num w:numId="45">
    <w:abstractNumId w:val="4"/>
  </w:num>
  <w:num w:numId="46">
    <w:abstractNumId w:val="27"/>
  </w:num>
  <w:num w:numId="47">
    <w:abstractNumId w:val="75"/>
  </w:num>
  <w:num w:numId="48">
    <w:abstractNumId w:val="26"/>
  </w:num>
  <w:num w:numId="49">
    <w:abstractNumId w:val="56"/>
  </w:num>
  <w:num w:numId="50">
    <w:abstractNumId w:val="60"/>
  </w:num>
  <w:num w:numId="51">
    <w:abstractNumId w:val="46"/>
  </w:num>
  <w:num w:numId="52">
    <w:abstractNumId w:val="69"/>
  </w:num>
  <w:num w:numId="53">
    <w:abstractNumId w:val="45"/>
  </w:num>
  <w:num w:numId="54">
    <w:abstractNumId w:val="70"/>
  </w:num>
  <w:num w:numId="55">
    <w:abstractNumId w:val="41"/>
  </w:num>
  <w:num w:numId="56">
    <w:abstractNumId w:val="24"/>
  </w:num>
  <w:num w:numId="57">
    <w:abstractNumId w:val="74"/>
  </w:num>
  <w:num w:numId="58">
    <w:abstractNumId w:val="86"/>
  </w:num>
  <w:num w:numId="59">
    <w:abstractNumId w:val="63"/>
  </w:num>
  <w:num w:numId="60">
    <w:abstractNumId w:val="13"/>
  </w:num>
  <w:num w:numId="61">
    <w:abstractNumId w:val="77"/>
  </w:num>
  <w:num w:numId="62">
    <w:abstractNumId w:val="34"/>
  </w:num>
  <w:num w:numId="63">
    <w:abstractNumId w:val="66"/>
  </w:num>
  <w:num w:numId="64">
    <w:abstractNumId w:val="30"/>
  </w:num>
  <w:num w:numId="65">
    <w:abstractNumId w:val="29"/>
  </w:num>
  <w:num w:numId="66">
    <w:abstractNumId w:val="32"/>
  </w:num>
  <w:num w:numId="67">
    <w:abstractNumId w:val="78"/>
  </w:num>
  <w:num w:numId="68">
    <w:abstractNumId w:val="2"/>
  </w:num>
  <w:num w:numId="69">
    <w:abstractNumId w:val="76"/>
  </w:num>
  <w:num w:numId="70">
    <w:abstractNumId w:val="50"/>
  </w:num>
  <w:num w:numId="71">
    <w:abstractNumId w:val="23"/>
  </w:num>
  <w:num w:numId="72">
    <w:abstractNumId w:val="53"/>
  </w:num>
  <w:num w:numId="73">
    <w:abstractNumId w:val="17"/>
  </w:num>
  <w:num w:numId="74">
    <w:abstractNumId w:val="73"/>
  </w:num>
  <w:num w:numId="75">
    <w:abstractNumId w:val="43"/>
  </w:num>
  <w:num w:numId="76">
    <w:abstractNumId w:val="11"/>
  </w:num>
  <w:num w:numId="77">
    <w:abstractNumId w:val="65"/>
  </w:num>
  <w:num w:numId="78">
    <w:abstractNumId w:val="39"/>
  </w:num>
  <w:num w:numId="79">
    <w:abstractNumId w:val="82"/>
  </w:num>
  <w:num w:numId="80">
    <w:abstractNumId w:val="35"/>
  </w:num>
  <w:num w:numId="81">
    <w:abstractNumId w:val="67"/>
  </w:num>
  <w:num w:numId="82">
    <w:abstractNumId w:val="57"/>
  </w:num>
  <w:num w:numId="83">
    <w:abstractNumId w:val="68"/>
  </w:num>
  <w:num w:numId="84">
    <w:abstractNumId w:val="59"/>
  </w:num>
  <w:num w:numId="85">
    <w:abstractNumId w:val="15"/>
  </w:num>
  <w:num w:numId="86">
    <w:abstractNumId w:val="36"/>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3"/>
  </w:num>
  <w:num w:numId="119">
    <w:abstractNumId w:val="33"/>
  </w:num>
  <w:num w:numId="120">
    <w:abstractNumId w:val="33"/>
  </w:num>
  <w:num w:numId="121">
    <w:abstractNumId w:val="33"/>
  </w:num>
  <w:num w:numId="122">
    <w:abstractNumId w:val="33"/>
  </w:num>
  <w:num w:numId="123">
    <w:abstractNumId w:val="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0719D"/>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1A58"/>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67F1E"/>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4315A"/>
    <w:rsid w:val="00250CA4"/>
    <w:rsid w:val="00251DA2"/>
    <w:rsid w:val="0025235F"/>
    <w:rsid w:val="00252363"/>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0D9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841D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65C0"/>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13E"/>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3F22"/>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15E15"/>
    <w:rsid w:val="00B16CFA"/>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C7013"/>
    <w:rsid w:val="00CD159B"/>
    <w:rsid w:val="00CD3326"/>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38"/>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63CE1"/>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D13E8-AC44-40E2-BDD6-344ED926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Mutua Peter</cp:lastModifiedBy>
  <cp:revision>7</cp:revision>
  <cp:lastPrinted>2010-01-29T09:37:00Z</cp:lastPrinted>
  <dcterms:created xsi:type="dcterms:W3CDTF">2019-10-09T08:45:00Z</dcterms:created>
  <dcterms:modified xsi:type="dcterms:W3CDTF">2022-04-07T18:42:00Z</dcterms:modified>
</cp:coreProperties>
</file>