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Pr="00B578D3" w:rsidRDefault="001C3C5C" w:rsidP="00264332">
            <w:pPr>
              <w:rPr>
                <w:b/>
              </w:rPr>
            </w:pPr>
            <w:r w:rsidRPr="001C3C5C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DKS 559-1  Men’s and boys’ trousers —Specification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C67373" w:rsidP="00B578D3">
            <w:r>
              <w:t xml:space="preserve">Public review </w:t>
            </w:r>
            <w:r w:rsidR="00B578D3" w:rsidRPr="00F95AFD">
              <w:t xml:space="preserve">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7B74DC" w:rsidP="00E64ADA">
            <w:r>
              <w:t>23</w:t>
            </w:r>
            <w:r w:rsidRPr="007B74DC">
              <w:rPr>
                <w:vertAlign w:val="superscript"/>
              </w:rPr>
              <w:t>rd</w:t>
            </w:r>
            <w:r>
              <w:t xml:space="preserve"> </w:t>
            </w:r>
            <w:r w:rsidR="001C3C5C">
              <w:t xml:space="preserve"> Nov</w:t>
            </w:r>
            <w:r w:rsidR="00C67373">
              <w:t xml:space="preserve"> 2021</w:t>
            </w:r>
          </w:p>
        </w:tc>
        <w:tc>
          <w:tcPr>
            <w:tcW w:w="3262" w:type="dxa"/>
          </w:tcPr>
          <w:p w:rsidR="00B578D3" w:rsidRDefault="007B74DC" w:rsidP="00541D22">
            <w:r>
              <w:t>23</w:t>
            </w:r>
            <w:r w:rsidRPr="007B74DC">
              <w:rPr>
                <w:vertAlign w:val="superscript"/>
              </w:rPr>
              <w:t>rd</w:t>
            </w:r>
            <w:r>
              <w:t xml:space="preserve"> </w:t>
            </w:r>
            <w:bookmarkStart w:id="0" w:name="_GoBack"/>
            <w:bookmarkEnd w:id="0"/>
            <w:r w:rsidR="00541D22">
              <w:rPr>
                <w:vertAlign w:val="superscript"/>
              </w:rPr>
              <w:t xml:space="preserve"> </w:t>
            </w:r>
            <w:r w:rsidR="001C3C5C">
              <w:t>Jan</w:t>
            </w:r>
            <w:r w:rsidR="00C67373">
              <w:t xml:space="preserve">  2021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B578D3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Pr="00940A8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tonuiw@kebs.org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b/>
          <w:lang w:val="en-GB"/>
        </w:rPr>
      </w:pPr>
      <w:r w:rsidRPr="004736E4">
        <w:rPr>
          <w:rFonts w:ascii="Calibri" w:eastAsia="Calibri" w:hAnsi="Calibri" w:cs="Calibri"/>
          <w:b/>
          <w:lang w:val="en-GB"/>
        </w:rPr>
        <w:lastRenderedPageBreak/>
        <w:t xml:space="preserve">Date of TC acceptance 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1</w:t>
      </w:r>
      <w:r w:rsidRPr="004736E4">
        <w:rPr>
          <w:rFonts w:ascii="Calibri" w:eastAsia="Calibri" w:hAnsi="Calibri" w:cs="Calibri"/>
          <w:vertAlign w:val="superscript"/>
          <w:lang w:val="en-GB"/>
        </w:rPr>
        <w:t>st</w:t>
      </w:r>
      <w:r w:rsidRPr="004736E4">
        <w:rPr>
          <w:rFonts w:ascii="Calibri" w:eastAsia="Calibri" w:hAnsi="Calibri" w:cs="Calibri"/>
          <w:lang w:val="en-GB"/>
        </w:rPr>
        <w:t xml:space="preserve"> December 2020</w:t>
      </w:r>
    </w:p>
    <w:p w:rsidR="004736E4" w:rsidRPr="004736E4" w:rsidRDefault="004736E4" w:rsidP="004736E4">
      <w:pPr>
        <w:spacing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Project ID No:564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b/>
          <w:lang w:val="en-GB"/>
        </w:rPr>
      </w:pPr>
      <w:r w:rsidRPr="004736E4">
        <w:rPr>
          <w:rFonts w:ascii="Calibri" w:eastAsia="Calibri" w:hAnsi="Calibri" w:cs="Calibri"/>
          <w:b/>
          <w:lang w:val="en-GB"/>
        </w:rPr>
        <w:t>Date of SPC approval date:22-02-2021</w:t>
      </w:r>
    </w:p>
    <w:p w:rsidR="004736E4" w:rsidRPr="004736E4" w:rsidRDefault="004736E4" w:rsidP="004736E4">
      <w:pPr>
        <w:spacing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NEP notification :11</w:t>
      </w:r>
      <w:r w:rsidRPr="004736E4">
        <w:rPr>
          <w:rFonts w:ascii="Calibri" w:eastAsia="Calibri" w:hAnsi="Calibri" w:cs="Calibri"/>
          <w:vertAlign w:val="superscript"/>
          <w:lang w:val="en-GB"/>
        </w:rPr>
        <w:t>th</w:t>
      </w:r>
      <w:r w:rsidRPr="004736E4">
        <w:rPr>
          <w:rFonts w:ascii="Calibri" w:eastAsia="Calibri" w:hAnsi="Calibri" w:cs="Calibri"/>
          <w:lang w:val="en-GB"/>
        </w:rPr>
        <w:t xml:space="preserve"> 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 xml:space="preserve"> December 2020 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b/>
          <w:lang w:val="en-GB"/>
        </w:rPr>
      </w:pPr>
      <w:r w:rsidRPr="004736E4">
        <w:rPr>
          <w:rFonts w:ascii="Calibri" w:eastAsia="Calibri" w:hAnsi="Calibri" w:cs="Calibri"/>
          <w:b/>
          <w:lang w:val="en-GB"/>
        </w:rPr>
        <w:t>Public review circulation date: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Opening Date: 19</w:t>
      </w:r>
      <w:r w:rsidRPr="004736E4">
        <w:rPr>
          <w:rFonts w:ascii="Calibri" w:eastAsia="Calibri" w:hAnsi="Calibri" w:cs="Calibri"/>
          <w:vertAlign w:val="superscript"/>
          <w:lang w:val="en-GB"/>
        </w:rPr>
        <w:t>th</w:t>
      </w:r>
      <w:r w:rsidRPr="004736E4">
        <w:rPr>
          <w:rFonts w:ascii="Calibri" w:eastAsia="Calibri" w:hAnsi="Calibri" w:cs="Calibri"/>
          <w:lang w:val="en-GB"/>
        </w:rPr>
        <w:t>January 2021</w:t>
      </w:r>
    </w:p>
    <w:p w:rsidR="004736E4" w:rsidRPr="004736E4" w:rsidRDefault="004736E4" w:rsidP="004736E4">
      <w:pPr>
        <w:spacing w:before="40" w:after="40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Closing date: 19</w:t>
      </w:r>
      <w:r w:rsidRPr="004736E4">
        <w:rPr>
          <w:rFonts w:ascii="Calibri" w:eastAsia="Calibri" w:hAnsi="Calibri" w:cs="Calibri"/>
          <w:vertAlign w:val="superscript"/>
          <w:lang w:val="en-GB"/>
        </w:rPr>
        <w:t>th</w:t>
      </w:r>
      <w:r w:rsidRPr="004736E4">
        <w:rPr>
          <w:rFonts w:ascii="Calibri" w:eastAsia="Calibri" w:hAnsi="Calibri" w:cs="Calibri"/>
          <w:lang w:val="en-GB"/>
        </w:rPr>
        <w:t xml:space="preserve"> March 2021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b/>
          <w:lang w:val="en-GB"/>
        </w:rPr>
      </w:pP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b/>
          <w:lang w:val="en-GB"/>
        </w:rPr>
      </w:pPr>
      <w:r w:rsidRPr="004736E4">
        <w:rPr>
          <w:rFonts w:ascii="Calibri" w:eastAsia="Calibri" w:hAnsi="Calibri" w:cs="Calibri"/>
          <w:b/>
          <w:lang w:val="en-GB"/>
        </w:rPr>
        <w:t>Balloting date: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Start: 26</w:t>
      </w:r>
      <w:r w:rsidRPr="004736E4">
        <w:rPr>
          <w:rFonts w:ascii="Calibri" w:eastAsia="Calibri" w:hAnsi="Calibri" w:cs="Calibri"/>
          <w:vertAlign w:val="superscript"/>
          <w:lang w:val="en-GB"/>
        </w:rPr>
        <w:t>th</w:t>
      </w:r>
      <w:r w:rsidRPr="004736E4">
        <w:rPr>
          <w:rFonts w:ascii="Calibri" w:eastAsia="Calibri" w:hAnsi="Calibri" w:cs="Calibri"/>
          <w:lang w:val="en-GB"/>
        </w:rPr>
        <w:t>May 2021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End :10th June 2021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Ballot results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 xml:space="preserve">Approved </w:t>
      </w:r>
    </w:p>
    <w:p w:rsidR="00264332" w:rsidRDefault="00264332" w:rsidP="00264332"/>
    <w:sectPr w:rsidR="00264332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43E" w:rsidRDefault="0099343E">
      <w:r>
        <w:separator/>
      </w:r>
    </w:p>
  </w:endnote>
  <w:endnote w:type="continuationSeparator" w:id="0">
    <w:p w:rsidR="0099343E" w:rsidRDefault="00993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43E" w:rsidRDefault="0099343E">
      <w:r>
        <w:separator/>
      </w:r>
    </w:p>
  </w:footnote>
  <w:footnote w:type="continuationSeparator" w:id="0">
    <w:p w:rsidR="0099343E" w:rsidRDefault="00993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99343E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99343E">
            <w:fldChar w:fldCharType="begin"/>
          </w:r>
          <w:r w:rsidR="0099343E">
            <w:instrText xml:space="preserve"> NUMPAGES   \* MERGEFORMAT </w:instrText>
          </w:r>
          <w:r w:rsidR="0099343E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99343E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993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D08AE"/>
    <w:rsid w:val="00157934"/>
    <w:rsid w:val="001C3C5C"/>
    <w:rsid w:val="00213688"/>
    <w:rsid w:val="00264332"/>
    <w:rsid w:val="0027755A"/>
    <w:rsid w:val="00280489"/>
    <w:rsid w:val="002C6570"/>
    <w:rsid w:val="00424598"/>
    <w:rsid w:val="004736E4"/>
    <w:rsid w:val="00481540"/>
    <w:rsid w:val="004C2C6A"/>
    <w:rsid w:val="004E213D"/>
    <w:rsid w:val="004F1A4E"/>
    <w:rsid w:val="0054022B"/>
    <w:rsid w:val="00541D22"/>
    <w:rsid w:val="005D2A92"/>
    <w:rsid w:val="005F000C"/>
    <w:rsid w:val="0061650A"/>
    <w:rsid w:val="006A1D28"/>
    <w:rsid w:val="006E52F7"/>
    <w:rsid w:val="006E6A75"/>
    <w:rsid w:val="00724C4D"/>
    <w:rsid w:val="007B74DC"/>
    <w:rsid w:val="007E31DA"/>
    <w:rsid w:val="007E54AE"/>
    <w:rsid w:val="00895FFD"/>
    <w:rsid w:val="008D4DD8"/>
    <w:rsid w:val="008D6B81"/>
    <w:rsid w:val="00942EDC"/>
    <w:rsid w:val="00985F05"/>
    <w:rsid w:val="00992792"/>
    <w:rsid w:val="0099343E"/>
    <w:rsid w:val="009A7E10"/>
    <w:rsid w:val="00B578D3"/>
    <w:rsid w:val="00B95B82"/>
    <w:rsid w:val="00BB3EFC"/>
    <w:rsid w:val="00C10A07"/>
    <w:rsid w:val="00C61238"/>
    <w:rsid w:val="00C67373"/>
    <w:rsid w:val="00E009D8"/>
    <w:rsid w:val="00E36FF5"/>
    <w:rsid w:val="00E64ADA"/>
    <w:rsid w:val="00EA557C"/>
    <w:rsid w:val="00EF4817"/>
    <w:rsid w:val="00F5730C"/>
    <w:rsid w:val="00F95AFD"/>
    <w:rsid w:val="00FA1C99"/>
    <w:rsid w:val="00FA672A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77FA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Winnie Tonui</cp:lastModifiedBy>
  <cp:revision>4</cp:revision>
  <dcterms:created xsi:type="dcterms:W3CDTF">2021-11-04T12:50:00Z</dcterms:created>
  <dcterms:modified xsi:type="dcterms:W3CDTF">2021-11-23T08:39:00Z</dcterms:modified>
</cp:coreProperties>
</file>