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4FF0F0C8"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32541ED">
        <w:t>EE</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6"/>
        <w:gridCol w:w="2908"/>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4F7F7AA6" w:rsidR="007D7BDE" w:rsidRPr="00556197" w:rsidRDefault="007B0F64" w:rsidP="00D4138E">
            <w:pPr>
              <w:tabs>
                <w:tab w:val="center" w:pos="4320"/>
                <w:tab w:val="right" w:pos="8640"/>
              </w:tabs>
              <w:rPr>
                <w:rFonts w:ascii="Arial Narrow" w:hAnsi="Arial Narrow"/>
              </w:rPr>
            </w:pPr>
            <w:r>
              <w:rPr>
                <w:rFonts w:ascii="Arial Narrow" w:hAnsi="Arial Narrow"/>
              </w:rPr>
              <w:t>2022-03-15</w:t>
            </w:r>
          </w:p>
        </w:tc>
        <w:tc>
          <w:tcPr>
            <w:tcW w:w="2970" w:type="dxa"/>
            <w:tcBorders>
              <w:top w:val="single" w:sz="4" w:space="0" w:color="auto"/>
              <w:left w:val="single" w:sz="4" w:space="0" w:color="auto"/>
              <w:bottom w:val="single" w:sz="4" w:space="0" w:color="auto"/>
              <w:right w:val="single" w:sz="4" w:space="0" w:color="auto"/>
            </w:tcBorders>
          </w:tcPr>
          <w:p w14:paraId="4F25474E" w14:textId="0234A566" w:rsidR="007D7BDE" w:rsidRPr="00556197" w:rsidRDefault="007B0F64" w:rsidP="00D4138E">
            <w:pPr>
              <w:tabs>
                <w:tab w:val="center" w:pos="4320"/>
                <w:tab w:val="right" w:pos="8640"/>
              </w:tabs>
              <w:rPr>
                <w:rFonts w:ascii="Arial Narrow" w:hAnsi="Arial Narrow"/>
              </w:rPr>
            </w:pPr>
            <w:r>
              <w:rPr>
                <w:rFonts w:ascii="Arial Narrow" w:hAnsi="Arial Narrow"/>
              </w:rPr>
              <w:t>2022-04-15</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4E6A4796"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w:t>
            </w:r>
            <w:proofErr w:type="gramStart"/>
            <w:r w:rsidRPr="00556197">
              <w:rPr>
                <w:rFonts w:ascii="Arial Narrow" w:hAnsi="Arial Narrow" w:cs="Arial"/>
                <w:b/>
                <w:bCs/>
              </w:rPr>
              <w:t>signed</w:t>
            </w:r>
            <w:proofErr w:type="gramEnd"/>
            <w:r w:rsidRPr="00556197">
              <w:rPr>
                <w:rFonts w:ascii="Arial Narrow" w:hAnsi="Arial Narrow" w:cs="Arial"/>
                <w:b/>
                <w:bCs/>
              </w:rPr>
              <w:t xml:space="preserve"> and returned to Kenya Bureau of Standards for the attention of </w:t>
            </w:r>
            <w:r w:rsidR="00E90FEC">
              <w:rPr>
                <w:rFonts w:ascii="Arial Narrow" w:hAnsi="Arial Narrow" w:cs="Arial"/>
                <w:b/>
                <w:bCs/>
              </w:rPr>
              <w:t>Zacheus Mwatha (zimwatha@kebs.org)</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32C9918B"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w:t>
      </w:r>
      <w:proofErr w:type="gramStart"/>
      <w:r w:rsidRPr="00556197">
        <w:rPr>
          <w:rFonts w:ascii="Arial Narrow" w:hAnsi="Arial Narrow" w:cs="Arial"/>
        </w:rPr>
        <w:t>below .</w:t>
      </w:r>
      <w:proofErr w:type="gramEnd"/>
      <w:r w:rsidR="00886D7A">
        <w:rPr>
          <w:rFonts w:ascii="Arial Narrow" w:hAnsi="Arial Narrow" w:cs="Arial"/>
        </w:rPr>
        <w:t>(</w:t>
      </w:r>
      <w:r w:rsidR="00886D7A" w:rsidRPr="00886D7A">
        <w:rPr>
          <w:rFonts w:ascii="Arial Narrow" w:hAnsi="Arial Narrow" w:cs="Arial"/>
          <w:b/>
          <w:bCs/>
        </w:rPr>
        <w:t>see attached list</w:t>
      </w:r>
      <w:r w:rsidR="00886D7A">
        <w:rPr>
          <w:rFonts w:ascii="Arial Narrow" w:hAnsi="Arial Narrow" w:cs="Arial"/>
        </w:rPr>
        <w:t xml:space="preserve">) </w:t>
      </w:r>
      <w:r w:rsidRPr="00556197">
        <w:rPr>
          <w:rFonts w:ascii="Arial Narrow" w:hAnsi="Arial Narrow" w:cs="Arial"/>
        </w:rPr>
        <w:t>............................................................................................................................................</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28395B5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Number ..........................................................................................................................................</w:t>
      </w:r>
    </w:p>
    <w:p w14:paraId="0D0B940D" w14:textId="77777777" w:rsidR="007D7BDE" w:rsidRPr="00556197" w:rsidRDefault="007D7BDE" w:rsidP="007D7BDE">
      <w:pPr>
        <w:autoSpaceDE w:val="0"/>
        <w:autoSpaceDN w:val="0"/>
        <w:adjustRightInd w:val="0"/>
        <w:jc w:val="both"/>
        <w:rPr>
          <w:rFonts w:ascii="Arial Narrow" w:hAnsi="Arial Narrow" w:cs="Arial"/>
        </w:rPr>
      </w:pPr>
    </w:p>
    <w:p w14:paraId="00CF532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Title ...............................................................................................................................................</w:t>
      </w:r>
    </w:p>
    <w:p w14:paraId="0E27B00A" w14:textId="77777777" w:rsidR="007D7BDE" w:rsidRPr="00556197" w:rsidRDefault="007D7BDE" w:rsidP="007D7BDE">
      <w:pPr>
        <w:autoSpaceDE w:val="0"/>
        <w:autoSpaceDN w:val="0"/>
        <w:adjustRightInd w:val="0"/>
        <w:jc w:val="both"/>
        <w:rPr>
          <w:rFonts w:ascii="Arial Narrow" w:hAnsi="Arial Narrow" w:cs="Arial"/>
        </w:rPr>
      </w:pPr>
    </w:p>
    <w:p w14:paraId="147745D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Scope: ...........................................................................................................................................</w:t>
      </w:r>
    </w:p>
    <w:p w14:paraId="60061E4C" w14:textId="77777777" w:rsidR="007D7BDE" w:rsidRPr="00556197" w:rsidRDefault="007D7BDE" w:rsidP="007D7BDE">
      <w:pPr>
        <w:autoSpaceDE w:val="0"/>
        <w:autoSpaceDN w:val="0"/>
        <w:adjustRightInd w:val="0"/>
        <w:jc w:val="both"/>
        <w:rPr>
          <w:rFonts w:ascii="Arial Narrow" w:hAnsi="Arial Narrow" w:cs="Arial"/>
        </w:rPr>
      </w:pPr>
    </w:p>
    <w:p w14:paraId="51742AC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t>
      </w:r>
    </w:p>
    <w:p w14:paraId="44EAFD9C" w14:textId="77777777" w:rsidR="007D7BDE" w:rsidRPr="00556197" w:rsidRDefault="007D7BDE" w:rsidP="007D7BDE">
      <w:pPr>
        <w:autoSpaceDE w:val="0"/>
        <w:autoSpaceDN w:val="0"/>
        <w:adjustRightInd w:val="0"/>
        <w:jc w:val="both"/>
        <w:rPr>
          <w:rFonts w:ascii="Arial Narrow" w:hAnsi="Arial Narrow" w:cs="Arial"/>
        </w:rPr>
      </w:pPr>
    </w:p>
    <w:p w14:paraId="119AEF6C" w14:textId="3A92884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BE01EF">
        <w:rPr>
          <w:rFonts w:ascii="Arial Narrow" w:hAnsi="Arial Narrow" w:cs="Arial"/>
        </w:rPr>
        <w:t>use the attached template</w:t>
      </w:r>
      <w:r w:rsidRPr="00556197">
        <w:rPr>
          <w:rFonts w:ascii="Arial Narrow" w:hAnsi="Arial Narrow" w:cs="Arial"/>
        </w:rPr>
        <w:t>).</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FD20D7">
      <w:pPr>
        <w:autoSpaceDE w:val="0"/>
        <w:autoSpaceDN w:val="0"/>
        <w:adjustRightInd w:val="0"/>
        <w:spacing w:after="12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FD20D7">
      <w:pPr>
        <w:autoSpaceDE w:val="0"/>
        <w:autoSpaceDN w:val="0"/>
        <w:adjustRightInd w:val="0"/>
        <w:spacing w:after="12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FD20D7">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FD20D7">
      <w:pPr>
        <w:autoSpaceDE w:val="0"/>
        <w:autoSpaceDN w:val="0"/>
        <w:adjustRightInd w:val="0"/>
        <w:jc w:val="both"/>
        <w:rPr>
          <w:rFonts w:ascii="Arial Narrow" w:hAnsi="Arial Narrow" w:cs="Arial"/>
        </w:rPr>
      </w:pPr>
    </w:p>
    <w:p w14:paraId="5FF826A6" w14:textId="77777777" w:rsidR="007D7BDE" w:rsidRPr="00556197" w:rsidRDefault="007D7BDE" w:rsidP="00FD20D7">
      <w:pPr>
        <w:autoSpaceDE w:val="0"/>
        <w:autoSpaceDN w:val="0"/>
        <w:adjustRightInd w:val="0"/>
        <w:spacing w:after="12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FD20D7">
      <w:pPr>
        <w:autoSpaceDE w:val="0"/>
        <w:autoSpaceDN w:val="0"/>
        <w:adjustRightInd w:val="0"/>
        <w:spacing w:after="12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FD20D7">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FD20D7">
      <w:pPr>
        <w:autoSpaceDE w:val="0"/>
        <w:autoSpaceDN w:val="0"/>
        <w:adjustRightInd w:val="0"/>
        <w:jc w:val="both"/>
        <w:rPr>
          <w:rFonts w:ascii="Arial Narrow" w:hAnsi="Arial Narrow" w:cs="Arial"/>
        </w:rPr>
      </w:pPr>
    </w:p>
    <w:p w14:paraId="61F61450" w14:textId="5B408774" w:rsidR="007D7BDE" w:rsidRPr="00556197" w:rsidRDefault="007D7BDE" w:rsidP="00FD20D7">
      <w:pPr>
        <w:autoSpaceDE w:val="0"/>
        <w:autoSpaceDN w:val="0"/>
        <w:adjustRightInd w:val="0"/>
        <w:spacing w:after="120"/>
        <w:jc w:val="both"/>
        <w:rPr>
          <w:rFonts w:ascii="Arial Narrow" w:hAnsi="Arial Narrow" w:cs="Arial"/>
        </w:rPr>
      </w:pPr>
      <w:r w:rsidRPr="00556197">
        <w:rPr>
          <w:rFonts w:ascii="Arial Narrow" w:hAnsi="Arial Narrow" w:cs="Arial"/>
        </w:rPr>
        <w:tab/>
        <w:t>Our Recommendations are as follows</w:t>
      </w:r>
    </w:p>
    <w:p w14:paraId="7285C120" w14:textId="77777777" w:rsidR="007D7BDE" w:rsidRPr="00556197" w:rsidRDefault="007D7BDE" w:rsidP="00FD20D7">
      <w:pPr>
        <w:autoSpaceDE w:val="0"/>
        <w:autoSpaceDN w:val="0"/>
        <w:adjustRightInd w:val="0"/>
        <w:spacing w:after="120"/>
        <w:jc w:val="both"/>
        <w:rPr>
          <w:rFonts w:ascii="Arial Narrow" w:hAnsi="Arial Narrow" w:cs="Arial"/>
        </w:rPr>
      </w:pPr>
      <w:r w:rsidRPr="00556197">
        <w:rPr>
          <w:rFonts w:ascii="Arial Narrow" w:hAnsi="Arial Narrow" w:cs="Arial"/>
        </w:rPr>
        <w:tab/>
        <w:t>...............................................................................................................................</w:t>
      </w:r>
    </w:p>
    <w:p w14:paraId="6968F39A" w14:textId="77777777" w:rsidR="007D7BDE" w:rsidRPr="00556197" w:rsidRDefault="007D7BDE" w:rsidP="00FD20D7">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4B99056E"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394A0109" w14:textId="77777777" w:rsidR="00C81DFC" w:rsidRDefault="00C81DFC" w:rsidP="007D7BDE">
      <w:pPr>
        <w:autoSpaceDE w:val="0"/>
        <w:autoSpaceDN w:val="0"/>
        <w:adjustRightInd w:val="0"/>
        <w:jc w:val="both"/>
        <w:rPr>
          <w:rFonts w:ascii="Arial Narrow" w:hAnsi="Arial Narrow" w:cs="Arial"/>
          <w:b/>
          <w:bCs/>
        </w:rPr>
        <w:sectPr w:rsidR="00C81DFC" w:rsidSect="009D2A1A">
          <w:headerReference w:type="default" r:id="rId10"/>
          <w:footerReference w:type="default" r:id="rId11"/>
          <w:footerReference w:type="first" r:id="rId12"/>
          <w:pgSz w:w="11909" w:h="16834" w:code="9"/>
          <w:pgMar w:top="1440" w:right="1440" w:bottom="1440" w:left="1440" w:header="720" w:footer="720" w:gutter="0"/>
          <w:cols w:space="720"/>
          <w:titlePg/>
          <w:docGrid w:linePitch="360"/>
        </w:sectPr>
      </w:pPr>
    </w:p>
    <w:tbl>
      <w:tblPr>
        <w:tblStyle w:val="GridTable4-Accent5"/>
        <w:tblW w:w="13938" w:type="dxa"/>
        <w:tblLook w:val="04A0" w:firstRow="1" w:lastRow="0" w:firstColumn="1" w:lastColumn="0" w:noHBand="0" w:noVBand="1"/>
      </w:tblPr>
      <w:tblGrid>
        <w:gridCol w:w="784"/>
        <w:gridCol w:w="5732"/>
        <w:gridCol w:w="1559"/>
        <w:gridCol w:w="1990"/>
        <w:gridCol w:w="3873"/>
      </w:tblGrid>
      <w:tr w:rsidR="00AB4A37" w:rsidRPr="00034702" w14:paraId="6B0292D4" w14:textId="77777777" w:rsidTr="0019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hideMark/>
          </w:tcPr>
          <w:p w14:paraId="5BB1EAA6" w14:textId="77777777" w:rsidR="00034702" w:rsidRPr="00034702" w:rsidRDefault="00034702" w:rsidP="00034702">
            <w:pPr>
              <w:textAlignment w:val="baseline"/>
              <w:rPr>
                <w:rFonts w:ascii="Segoe UI" w:hAnsi="Segoe UI" w:cs="Segoe UI"/>
                <w:color w:val="FFFFFF"/>
                <w:sz w:val="18"/>
                <w:szCs w:val="18"/>
              </w:rPr>
            </w:pPr>
            <w:r w:rsidRPr="00034702">
              <w:rPr>
                <w:rFonts w:ascii="Arial" w:hAnsi="Arial" w:cs="Arial"/>
                <w:color w:val="FFFFFF"/>
              </w:rPr>
              <w:lastRenderedPageBreak/>
              <w:t>S/No. </w:t>
            </w:r>
          </w:p>
        </w:tc>
        <w:tc>
          <w:tcPr>
            <w:tcW w:w="5732" w:type="dxa"/>
            <w:hideMark/>
          </w:tcPr>
          <w:p w14:paraId="5383D4B8" w14:textId="34214FA8" w:rsidR="00034702" w:rsidRPr="00034702" w:rsidRDefault="00034702" w:rsidP="00034702">
            <w:pP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sz w:val="18"/>
                <w:szCs w:val="18"/>
              </w:rPr>
            </w:pPr>
            <w:r w:rsidRPr="00034702">
              <w:rPr>
                <w:rFonts w:ascii="Arial" w:hAnsi="Arial" w:cs="Arial"/>
                <w:color w:val="FFFFFF"/>
              </w:rPr>
              <w:t>Standard Number</w:t>
            </w:r>
            <w:r w:rsidR="005E5929">
              <w:rPr>
                <w:rFonts w:ascii="Arial" w:hAnsi="Arial" w:cs="Arial"/>
                <w:color w:val="FFFFFF"/>
              </w:rPr>
              <w:t xml:space="preserve">, </w:t>
            </w:r>
            <w:r w:rsidR="00374C68">
              <w:rPr>
                <w:rFonts w:ascii="Arial" w:hAnsi="Arial" w:cs="Arial"/>
                <w:color w:val="FFFFFF"/>
              </w:rPr>
              <w:t>Ti</w:t>
            </w:r>
            <w:r w:rsidR="00AB4A37">
              <w:rPr>
                <w:rFonts w:ascii="Arial" w:hAnsi="Arial" w:cs="Arial"/>
                <w:color w:val="FFFFFF"/>
              </w:rPr>
              <w:t>tle</w:t>
            </w:r>
            <w:r w:rsidR="005E5929">
              <w:rPr>
                <w:rFonts w:ascii="Arial" w:hAnsi="Arial" w:cs="Arial"/>
                <w:color w:val="FFFFFF"/>
              </w:rPr>
              <w:t xml:space="preserve"> &amp; Scope</w:t>
            </w:r>
          </w:p>
        </w:tc>
        <w:tc>
          <w:tcPr>
            <w:tcW w:w="3549" w:type="dxa"/>
            <w:gridSpan w:val="2"/>
            <w:hideMark/>
          </w:tcPr>
          <w:p w14:paraId="03847EB3" w14:textId="52763389" w:rsidR="00034702" w:rsidRPr="00034702" w:rsidRDefault="00034702" w:rsidP="00034702">
            <w:pPr>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sz w:val="18"/>
                <w:szCs w:val="18"/>
              </w:rPr>
            </w:pPr>
            <w:r w:rsidRPr="00034702">
              <w:rPr>
                <w:rFonts w:ascii="Arial" w:hAnsi="Arial" w:cs="Arial"/>
                <w:color w:val="FFFFFF"/>
              </w:rPr>
              <w:t>Our preferred option </w:t>
            </w:r>
          </w:p>
        </w:tc>
        <w:tc>
          <w:tcPr>
            <w:tcW w:w="3873" w:type="dxa"/>
            <w:hideMark/>
          </w:tcPr>
          <w:p w14:paraId="0CFD4311" w14:textId="77777777" w:rsidR="00034702" w:rsidRPr="00034702" w:rsidRDefault="00034702" w:rsidP="00034702">
            <w:pP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sz w:val="18"/>
                <w:szCs w:val="18"/>
              </w:rPr>
            </w:pPr>
            <w:r w:rsidRPr="00034702">
              <w:rPr>
                <w:rFonts w:ascii="Arial" w:hAnsi="Arial" w:cs="Arial"/>
                <w:color w:val="FFFFFF"/>
              </w:rPr>
              <w:t>Reasons the adoption proposal is not acceptable with preferred recommendation(s) (</w:t>
            </w:r>
            <w:r w:rsidRPr="00034702">
              <w:rPr>
                <w:rFonts w:ascii="Arial" w:hAnsi="Arial" w:cs="Arial"/>
                <w:color w:val="FF0000"/>
              </w:rPr>
              <w:t>mandatory</w:t>
            </w:r>
            <w:r w:rsidRPr="00034702">
              <w:rPr>
                <w:rFonts w:ascii="Arial" w:hAnsi="Arial" w:cs="Arial"/>
                <w:color w:val="FFFFFF"/>
              </w:rPr>
              <w:t>) </w:t>
            </w:r>
          </w:p>
        </w:tc>
      </w:tr>
      <w:tr w:rsidR="00AB4A37" w:rsidRPr="00034702" w14:paraId="5B094214" w14:textId="77777777" w:rsidTr="0019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hideMark/>
          </w:tcPr>
          <w:p w14:paraId="5CC7BCEF" w14:textId="471662F2" w:rsidR="00034702" w:rsidRPr="00034702" w:rsidRDefault="00034702" w:rsidP="00034702">
            <w:pPr>
              <w:textAlignment w:val="baseline"/>
              <w:rPr>
                <w:rFonts w:ascii="Segoe UI" w:hAnsi="Segoe UI" w:cs="Segoe UI"/>
                <w:sz w:val="18"/>
                <w:szCs w:val="18"/>
              </w:rPr>
            </w:pPr>
          </w:p>
        </w:tc>
        <w:tc>
          <w:tcPr>
            <w:tcW w:w="5732" w:type="dxa"/>
            <w:hideMark/>
          </w:tcPr>
          <w:p w14:paraId="75A808A5" w14:textId="40F30BBF" w:rsidR="00034702" w:rsidRPr="00034702" w:rsidRDefault="00034702" w:rsidP="00034702">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p>
        </w:tc>
        <w:tc>
          <w:tcPr>
            <w:tcW w:w="1559" w:type="dxa"/>
            <w:hideMark/>
          </w:tcPr>
          <w:p w14:paraId="4A608A64" w14:textId="099F57AC" w:rsidR="00034702" w:rsidRPr="00034702" w:rsidRDefault="00034702" w:rsidP="00034702">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034702">
              <w:rPr>
                <w:rFonts w:ascii="Arial" w:hAnsi="Arial" w:cs="Arial"/>
              </w:rPr>
              <w:t>Adoption acceptable as presented</w:t>
            </w:r>
          </w:p>
        </w:tc>
        <w:tc>
          <w:tcPr>
            <w:tcW w:w="1990" w:type="dxa"/>
            <w:hideMark/>
          </w:tcPr>
          <w:p w14:paraId="74AA0042" w14:textId="3B17C2BE" w:rsidR="00034702" w:rsidRPr="00034702" w:rsidRDefault="00034702" w:rsidP="00034702">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034702">
              <w:rPr>
                <w:rFonts w:ascii="Arial Narrow" w:hAnsi="Arial Narrow" w:cs="Segoe UI"/>
              </w:rPr>
              <w:t>Adoption proposal not acceptable because of the reason(s)</w:t>
            </w:r>
          </w:p>
        </w:tc>
        <w:tc>
          <w:tcPr>
            <w:tcW w:w="3873" w:type="dxa"/>
            <w:hideMark/>
          </w:tcPr>
          <w:p w14:paraId="7049D1F9" w14:textId="18A633A3" w:rsidR="00034702" w:rsidRPr="00034702" w:rsidRDefault="00034702" w:rsidP="001919F4">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034702">
              <w:rPr>
                <w:rFonts w:ascii="Arial" w:hAnsi="Arial" w:cs="Arial"/>
                <w:b/>
              </w:rPr>
              <w:t>Our Recommendations are as follows (cite specific clauses and wording preferred)</w:t>
            </w:r>
          </w:p>
        </w:tc>
      </w:tr>
      <w:tr w:rsidR="00AB4A37" w:rsidRPr="00034702" w14:paraId="53FFBE31" w14:textId="77777777" w:rsidTr="001919F4">
        <w:tc>
          <w:tcPr>
            <w:cnfStyle w:val="001000000000" w:firstRow="0" w:lastRow="0" w:firstColumn="1" w:lastColumn="0" w:oddVBand="0" w:evenVBand="0" w:oddHBand="0" w:evenHBand="0" w:firstRowFirstColumn="0" w:firstRowLastColumn="0" w:lastRowFirstColumn="0" w:lastRowLastColumn="0"/>
            <w:tcW w:w="784" w:type="dxa"/>
            <w:hideMark/>
          </w:tcPr>
          <w:p w14:paraId="0D38E697" w14:textId="77777777" w:rsidR="00034702" w:rsidRPr="00034702" w:rsidRDefault="00034702" w:rsidP="005E5929">
            <w:pPr>
              <w:numPr>
                <w:ilvl w:val="0"/>
                <w:numId w:val="6"/>
              </w:numPr>
              <w:textAlignment w:val="baseline"/>
              <w:rPr>
                <w:rFonts w:ascii="Calibri" w:hAnsi="Calibri" w:cs="Calibri"/>
                <w:sz w:val="22"/>
                <w:szCs w:val="22"/>
              </w:rPr>
            </w:pPr>
            <w:r w:rsidRPr="00034702">
              <w:rPr>
                <w:rFonts w:ascii="Calibri" w:hAnsi="Calibri" w:cs="Calibri"/>
                <w:color w:val="000000"/>
                <w:sz w:val="22"/>
                <w:szCs w:val="22"/>
              </w:rPr>
              <w:t> </w:t>
            </w:r>
          </w:p>
        </w:tc>
        <w:tc>
          <w:tcPr>
            <w:tcW w:w="5732" w:type="dxa"/>
          </w:tcPr>
          <w:p w14:paraId="48A59537" w14:textId="5359F12C" w:rsidR="00034702" w:rsidRPr="004A017B" w:rsidRDefault="0074138C" w:rsidP="00A81B78">
            <w:pPr>
              <w:tabs>
                <w:tab w:val="left" w:pos="839"/>
              </w:tabs>
              <w:spacing w:after="120"/>
              <w:ind w:left="839" w:right="173" w:hanging="839"/>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r w:rsidRPr="004A017B">
              <w:rPr>
                <w:rFonts w:ascii="Arial Narrow" w:hAnsi="Arial Narrow" w:cs="Arial"/>
                <w:b/>
                <w:bCs/>
                <w:sz w:val="22"/>
                <w:szCs w:val="22"/>
              </w:rPr>
              <w:t>Number</w:t>
            </w:r>
            <w:r w:rsidRPr="004A017B">
              <w:rPr>
                <w:rFonts w:ascii="Arial Narrow" w:hAnsi="Arial Narrow" w:cs="Arial"/>
                <w:sz w:val="22"/>
                <w:szCs w:val="22"/>
              </w:rPr>
              <w:t>:</w:t>
            </w:r>
            <w:r w:rsidR="00AE4CE1" w:rsidRPr="004A017B">
              <w:rPr>
                <w:rFonts w:ascii="Arial Narrow" w:hAnsi="Arial Narrow" w:cs="Arial"/>
                <w:sz w:val="22"/>
                <w:szCs w:val="22"/>
              </w:rPr>
              <w:tab/>
            </w:r>
            <w:r w:rsidR="007B1661" w:rsidRPr="004A017B">
              <w:rPr>
                <w:rFonts w:ascii="Arial Narrow" w:hAnsi="Arial Narrow" w:cs="Arial"/>
                <w:sz w:val="22"/>
                <w:szCs w:val="22"/>
              </w:rPr>
              <w:t>IEC 62368-1</w:t>
            </w:r>
            <w:r w:rsidR="007B1661" w:rsidRPr="004A017B">
              <w:rPr>
                <w:rFonts w:ascii="Arial Narrow" w:hAnsi="Arial Narrow" w:cs="Arial"/>
                <w:sz w:val="22"/>
                <w:szCs w:val="22"/>
              </w:rPr>
              <w:t>:2018</w:t>
            </w:r>
            <w:r w:rsidR="004A017B" w:rsidRPr="004A017B">
              <w:rPr>
                <w:rFonts w:ascii="Arial Narrow" w:hAnsi="Arial Narrow" w:cs="Arial"/>
                <w:sz w:val="22"/>
                <w:szCs w:val="22"/>
              </w:rPr>
              <w:t xml:space="preserve"> (</w:t>
            </w:r>
            <w:hyperlink r:id="rId13" w:history="1">
              <w:r w:rsidR="004A017B" w:rsidRPr="004A017B">
                <w:rPr>
                  <w:rStyle w:val="Hyperlink"/>
                  <w:rFonts w:ascii="Arial Narrow" w:hAnsi="Arial Narrow" w:cs="Arial"/>
                  <w:sz w:val="22"/>
                  <w:szCs w:val="22"/>
                </w:rPr>
                <w:t>info_iec62368-1{</w:t>
              </w:r>
              <w:proofErr w:type="gramStart"/>
              <w:r w:rsidR="004A017B" w:rsidRPr="004A017B">
                <w:rPr>
                  <w:rStyle w:val="Hyperlink"/>
                  <w:rFonts w:ascii="Arial Narrow" w:hAnsi="Arial Narrow" w:cs="Arial"/>
                  <w:sz w:val="22"/>
                  <w:szCs w:val="22"/>
                </w:rPr>
                <w:t>ed3.0.RLV}en.pdf</w:t>
              </w:r>
              <w:proofErr w:type="gramEnd"/>
            </w:hyperlink>
            <w:r w:rsidR="004A017B" w:rsidRPr="004A017B">
              <w:rPr>
                <w:rFonts w:ascii="Arial Narrow" w:hAnsi="Arial Narrow" w:cs="Arial"/>
                <w:sz w:val="22"/>
                <w:szCs w:val="22"/>
              </w:rPr>
              <w:t>)</w:t>
            </w:r>
          </w:p>
          <w:p w14:paraId="53934429" w14:textId="11C80F0E" w:rsidR="0074138C" w:rsidRPr="004A017B" w:rsidRDefault="003D3DAA" w:rsidP="00AE4CE1">
            <w:pPr>
              <w:tabs>
                <w:tab w:val="left" w:pos="839"/>
              </w:tabs>
              <w:spacing w:after="120"/>
              <w:ind w:left="839" w:right="173" w:hanging="839"/>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r w:rsidRPr="004A017B">
              <w:rPr>
                <w:rFonts w:ascii="Arial Narrow" w:hAnsi="Arial Narrow" w:cs="Arial"/>
                <w:b/>
                <w:bCs/>
                <w:sz w:val="22"/>
                <w:szCs w:val="22"/>
              </w:rPr>
              <w:t>Title</w:t>
            </w:r>
            <w:r w:rsidRPr="004A017B">
              <w:rPr>
                <w:rFonts w:ascii="Arial Narrow" w:hAnsi="Arial Narrow" w:cs="Arial"/>
                <w:sz w:val="22"/>
                <w:szCs w:val="22"/>
              </w:rPr>
              <w:t>:</w:t>
            </w:r>
            <w:r w:rsidR="007B1661" w:rsidRPr="004A017B">
              <w:rPr>
                <w:rFonts w:ascii="Arial Narrow" w:hAnsi="Arial Narrow" w:cs="Arial"/>
                <w:sz w:val="22"/>
                <w:szCs w:val="22"/>
              </w:rPr>
              <w:t xml:space="preserve"> </w:t>
            </w:r>
            <w:r w:rsidR="00AE4CE1" w:rsidRPr="004A017B">
              <w:rPr>
                <w:rFonts w:ascii="Arial Narrow" w:hAnsi="Arial Narrow" w:cs="Arial"/>
                <w:sz w:val="22"/>
                <w:szCs w:val="22"/>
              </w:rPr>
              <w:tab/>
            </w:r>
            <w:r w:rsidR="007B1661" w:rsidRPr="004A017B">
              <w:rPr>
                <w:rFonts w:ascii="Arial Narrow" w:hAnsi="Arial Narrow" w:cs="Arial"/>
                <w:sz w:val="22"/>
                <w:szCs w:val="22"/>
              </w:rPr>
              <w:t xml:space="preserve">Audio/video, </w:t>
            </w:r>
            <w:proofErr w:type="gramStart"/>
            <w:r w:rsidR="007B1661" w:rsidRPr="004A017B">
              <w:rPr>
                <w:rFonts w:ascii="Arial Narrow" w:hAnsi="Arial Narrow" w:cs="Arial"/>
                <w:sz w:val="22"/>
                <w:szCs w:val="22"/>
              </w:rPr>
              <w:t>information</w:t>
            </w:r>
            <w:proofErr w:type="gramEnd"/>
            <w:r w:rsidR="007B1661" w:rsidRPr="004A017B">
              <w:rPr>
                <w:rFonts w:ascii="Arial Narrow" w:hAnsi="Arial Narrow" w:cs="Arial"/>
                <w:sz w:val="22"/>
                <w:szCs w:val="22"/>
              </w:rPr>
              <w:t xml:space="preserve"> and communication technology equipment – Part 1: Safety requirements</w:t>
            </w:r>
          </w:p>
          <w:p w14:paraId="32F5C7A6" w14:textId="42F635F9" w:rsidR="003D3DAA" w:rsidRPr="004A017B" w:rsidRDefault="003D3DAA" w:rsidP="001C0F0F">
            <w:pPr>
              <w:tabs>
                <w:tab w:val="left" w:pos="839"/>
              </w:tabs>
              <w:spacing w:after="120"/>
              <w:ind w:left="839" w:right="173" w:hanging="839"/>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r w:rsidRPr="004A017B">
              <w:rPr>
                <w:rFonts w:ascii="Arial Narrow" w:hAnsi="Arial Narrow" w:cs="Arial"/>
                <w:b/>
                <w:bCs/>
                <w:sz w:val="22"/>
                <w:szCs w:val="22"/>
              </w:rPr>
              <w:t>Scope</w:t>
            </w:r>
            <w:r w:rsidRPr="004A017B">
              <w:rPr>
                <w:rFonts w:ascii="Arial Narrow" w:hAnsi="Arial Narrow" w:cs="Arial"/>
                <w:sz w:val="22"/>
                <w:szCs w:val="22"/>
              </w:rPr>
              <w:t>:</w:t>
            </w:r>
            <w:r w:rsidR="007B1661" w:rsidRPr="004A017B">
              <w:rPr>
                <w:rFonts w:ascii="Arial Narrow" w:hAnsi="Arial Narrow" w:cs="Arial"/>
                <w:sz w:val="22"/>
                <w:szCs w:val="22"/>
              </w:rPr>
              <w:t xml:space="preserve"> </w:t>
            </w:r>
            <w:r w:rsidR="00AE4CE1" w:rsidRPr="004A017B">
              <w:rPr>
                <w:rFonts w:ascii="Arial Narrow" w:hAnsi="Arial Narrow" w:cs="Arial"/>
                <w:sz w:val="22"/>
                <w:szCs w:val="22"/>
              </w:rPr>
              <w:tab/>
            </w:r>
            <w:r w:rsidR="000B520B" w:rsidRPr="004A017B">
              <w:rPr>
                <w:rFonts w:ascii="Arial Narrow" w:hAnsi="Arial Narrow" w:cs="Arial"/>
                <w:sz w:val="22"/>
                <w:szCs w:val="22"/>
              </w:rPr>
              <w:t>This part of IEC 62368 is applicable to the safety of electrical and electronic equipment within the field of audio, video, information and communication technology, and business and office machines with a rated voltage not exceeding 600 V. This document does not include requirements for performance or functional characteristics of equipment.</w:t>
            </w:r>
          </w:p>
        </w:tc>
        <w:tc>
          <w:tcPr>
            <w:tcW w:w="1559" w:type="dxa"/>
            <w:hideMark/>
          </w:tcPr>
          <w:p w14:paraId="19F8E7D9" w14:textId="77777777" w:rsidR="00034702" w:rsidRPr="00034702" w:rsidRDefault="00034702" w:rsidP="00034702">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034702">
              <w:rPr>
                <w:rFonts w:ascii="Calibri" w:hAnsi="Calibri" w:cs="Calibri"/>
                <w:color w:val="000000"/>
                <w:sz w:val="22"/>
                <w:szCs w:val="22"/>
              </w:rPr>
              <w:t> </w:t>
            </w:r>
          </w:p>
        </w:tc>
        <w:tc>
          <w:tcPr>
            <w:tcW w:w="1990" w:type="dxa"/>
            <w:hideMark/>
          </w:tcPr>
          <w:p w14:paraId="7CE340AD" w14:textId="77777777" w:rsidR="00034702" w:rsidRPr="00034702" w:rsidRDefault="00034702" w:rsidP="00034702">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034702">
              <w:rPr>
                <w:rFonts w:ascii="Calibri" w:hAnsi="Calibri" w:cs="Calibri"/>
                <w:color w:val="000000"/>
                <w:sz w:val="22"/>
                <w:szCs w:val="22"/>
              </w:rPr>
              <w:t> </w:t>
            </w:r>
          </w:p>
        </w:tc>
        <w:tc>
          <w:tcPr>
            <w:tcW w:w="3873" w:type="dxa"/>
            <w:hideMark/>
          </w:tcPr>
          <w:p w14:paraId="35352CAD" w14:textId="77777777" w:rsidR="00034702" w:rsidRPr="00034702" w:rsidRDefault="00034702" w:rsidP="00034702">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034702">
              <w:rPr>
                <w:rFonts w:ascii="Calibri" w:hAnsi="Calibri" w:cs="Calibri"/>
                <w:color w:val="000000"/>
                <w:sz w:val="22"/>
                <w:szCs w:val="22"/>
              </w:rPr>
              <w:t> </w:t>
            </w:r>
          </w:p>
        </w:tc>
      </w:tr>
      <w:tr w:rsidR="001C0F0F" w:rsidRPr="00034702" w14:paraId="1B52EE89" w14:textId="77777777" w:rsidTr="0019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hideMark/>
          </w:tcPr>
          <w:p w14:paraId="1530335F" w14:textId="77777777" w:rsidR="001C0F0F" w:rsidRPr="00034702" w:rsidRDefault="001C0F0F" w:rsidP="001C0F0F">
            <w:pPr>
              <w:numPr>
                <w:ilvl w:val="0"/>
                <w:numId w:val="6"/>
              </w:numPr>
              <w:textAlignment w:val="baseline"/>
              <w:rPr>
                <w:rFonts w:ascii="Calibri" w:hAnsi="Calibri" w:cs="Calibri"/>
                <w:sz w:val="22"/>
                <w:szCs w:val="22"/>
              </w:rPr>
            </w:pPr>
            <w:r w:rsidRPr="00034702">
              <w:rPr>
                <w:rFonts w:ascii="Calibri" w:hAnsi="Calibri" w:cs="Calibri"/>
                <w:color w:val="000000"/>
                <w:sz w:val="22"/>
                <w:szCs w:val="22"/>
              </w:rPr>
              <w:t> </w:t>
            </w:r>
          </w:p>
        </w:tc>
        <w:tc>
          <w:tcPr>
            <w:tcW w:w="5732" w:type="dxa"/>
          </w:tcPr>
          <w:p w14:paraId="4E1FE981" w14:textId="6A06AB79" w:rsidR="001C0F0F" w:rsidRPr="001C0741" w:rsidRDefault="001C0F0F" w:rsidP="00A81B78">
            <w:pPr>
              <w:tabs>
                <w:tab w:val="left" w:pos="839"/>
              </w:tabs>
              <w:spacing w:after="120"/>
              <w:ind w:left="839" w:right="173" w:hanging="839"/>
              <w:textAlignment w:val="baseline"/>
              <w:cnfStyle w:val="000000100000" w:firstRow="0" w:lastRow="0" w:firstColumn="0" w:lastColumn="0" w:oddVBand="0" w:evenVBand="0" w:oddHBand="1" w:evenHBand="0" w:firstRowFirstColumn="0" w:firstRowLastColumn="0" w:lastRowFirstColumn="0" w:lastRowLastColumn="0"/>
              <w:rPr>
                <w:rFonts w:ascii="Arial Narrow" w:hAnsi="Arial Narrow" w:cs="Arial"/>
                <w:sz w:val="22"/>
                <w:szCs w:val="22"/>
              </w:rPr>
            </w:pPr>
            <w:r w:rsidRPr="001C0741">
              <w:rPr>
                <w:rFonts w:ascii="Arial Narrow" w:hAnsi="Arial Narrow" w:cs="Arial"/>
                <w:b/>
                <w:bCs/>
                <w:sz w:val="22"/>
                <w:szCs w:val="22"/>
              </w:rPr>
              <w:t>Number</w:t>
            </w:r>
            <w:r w:rsidRPr="001C0741">
              <w:rPr>
                <w:rFonts w:ascii="Arial Narrow" w:hAnsi="Arial Narrow" w:cs="Arial"/>
                <w:sz w:val="22"/>
                <w:szCs w:val="22"/>
              </w:rPr>
              <w:t>:</w:t>
            </w:r>
            <w:r w:rsidRPr="001C0741">
              <w:rPr>
                <w:rFonts w:ascii="Arial Narrow" w:hAnsi="Arial Narrow" w:cs="Arial"/>
                <w:sz w:val="22"/>
                <w:szCs w:val="22"/>
              </w:rPr>
              <w:tab/>
              <w:t>IEC 62368-</w:t>
            </w:r>
            <w:r w:rsidRPr="001C0741">
              <w:rPr>
                <w:rFonts w:ascii="Arial Narrow" w:hAnsi="Arial Narrow" w:cs="Arial"/>
                <w:sz w:val="22"/>
                <w:szCs w:val="22"/>
              </w:rPr>
              <w:t>2</w:t>
            </w:r>
            <w:r w:rsidRPr="001C0741">
              <w:rPr>
                <w:rFonts w:ascii="Arial Narrow" w:hAnsi="Arial Narrow" w:cs="Arial"/>
                <w:sz w:val="22"/>
                <w:szCs w:val="22"/>
              </w:rPr>
              <w:t>:201</w:t>
            </w:r>
            <w:r w:rsidR="00434ED1" w:rsidRPr="001C0741">
              <w:rPr>
                <w:rFonts w:ascii="Arial Narrow" w:hAnsi="Arial Narrow" w:cs="Arial"/>
                <w:sz w:val="22"/>
                <w:szCs w:val="22"/>
              </w:rPr>
              <w:t>9</w:t>
            </w:r>
            <w:r w:rsidR="001C0741" w:rsidRPr="001C0741">
              <w:rPr>
                <w:rFonts w:ascii="Arial Narrow" w:hAnsi="Arial Narrow" w:cs="Arial"/>
                <w:sz w:val="22"/>
                <w:szCs w:val="22"/>
              </w:rPr>
              <w:t xml:space="preserve"> (</w:t>
            </w:r>
            <w:hyperlink r:id="rId14" w:history="1">
              <w:r w:rsidR="001C0741" w:rsidRPr="001C0741">
                <w:rPr>
                  <w:rStyle w:val="Hyperlink"/>
                  <w:rFonts w:ascii="Arial Narrow" w:hAnsi="Arial Narrow"/>
                  <w:sz w:val="22"/>
                  <w:szCs w:val="22"/>
                </w:rPr>
                <w:t>info_iectr62368-2{</w:t>
              </w:r>
              <w:proofErr w:type="gramStart"/>
              <w:r w:rsidR="001C0741" w:rsidRPr="001C0741">
                <w:rPr>
                  <w:rStyle w:val="Hyperlink"/>
                  <w:rFonts w:ascii="Arial Narrow" w:hAnsi="Arial Narrow"/>
                  <w:sz w:val="22"/>
                  <w:szCs w:val="22"/>
                </w:rPr>
                <w:t>ed3.0.RLV}en.pdf</w:t>
              </w:r>
              <w:proofErr w:type="gramEnd"/>
            </w:hyperlink>
            <w:r w:rsidR="001C0741" w:rsidRPr="001C0741">
              <w:rPr>
                <w:rFonts w:ascii="Arial Narrow" w:hAnsi="Arial Narrow"/>
                <w:sz w:val="22"/>
                <w:szCs w:val="22"/>
              </w:rPr>
              <w:t>)</w:t>
            </w:r>
          </w:p>
          <w:p w14:paraId="394DC9AA" w14:textId="3D4A5529" w:rsidR="001C0F0F" w:rsidRPr="001C0741" w:rsidRDefault="001C0F0F" w:rsidP="001C0F0F">
            <w:pPr>
              <w:tabs>
                <w:tab w:val="left" w:pos="839"/>
              </w:tabs>
              <w:spacing w:after="120"/>
              <w:ind w:left="839" w:right="173" w:hanging="839"/>
              <w:textAlignment w:val="baseline"/>
              <w:cnfStyle w:val="000000100000" w:firstRow="0" w:lastRow="0" w:firstColumn="0" w:lastColumn="0" w:oddVBand="0" w:evenVBand="0" w:oddHBand="1" w:evenHBand="0" w:firstRowFirstColumn="0" w:firstRowLastColumn="0" w:lastRowFirstColumn="0" w:lastRowLastColumn="0"/>
              <w:rPr>
                <w:rFonts w:ascii="Arial Narrow" w:hAnsi="Arial Narrow" w:cs="Segoe UI"/>
                <w:sz w:val="22"/>
                <w:szCs w:val="22"/>
              </w:rPr>
            </w:pPr>
            <w:r w:rsidRPr="001C0741">
              <w:rPr>
                <w:rFonts w:ascii="Arial Narrow" w:hAnsi="Arial Narrow" w:cs="Segoe UI"/>
                <w:b/>
                <w:bCs/>
                <w:sz w:val="22"/>
                <w:szCs w:val="22"/>
              </w:rPr>
              <w:t>Title</w:t>
            </w:r>
            <w:r w:rsidRPr="001C0741">
              <w:rPr>
                <w:rFonts w:ascii="Arial Narrow" w:hAnsi="Arial Narrow" w:cs="Segoe UI"/>
                <w:sz w:val="22"/>
                <w:szCs w:val="22"/>
              </w:rPr>
              <w:t>:</w:t>
            </w:r>
            <w:r w:rsidRPr="001C0741">
              <w:rPr>
                <w:rFonts w:ascii="Arial Narrow" w:hAnsi="Arial Narrow" w:cs="Arial"/>
                <w:sz w:val="22"/>
                <w:szCs w:val="22"/>
              </w:rPr>
              <w:t xml:space="preserve"> </w:t>
            </w:r>
            <w:r w:rsidRPr="001C0741">
              <w:rPr>
                <w:rFonts w:ascii="Arial Narrow" w:hAnsi="Arial Narrow" w:cs="Arial"/>
                <w:sz w:val="22"/>
                <w:szCs w:val="22"/>
              </w:rPr>
              <w:tab/>
              <w:t xml:space="preserve">Audio/video, </w:t>
            </w:r>
            <w:proofErr w:type="gramStart"/>
            <w:r w:rsidRPr="001C0741">
              <w:rPr>
                <w:rFonts w:ascii="Arial Narrow" w:hAnsi="Arial Narrow" w:cs="Arial"/>
                <w:sz w:val="22"/>
                <w:szCs w:val="22"/>
              </w:rPr>
              <w:t>information</w:t>
            </w:r>
            <w:proofErr w:type="gramEnd"/>
            <w:r w:rsidRPr="001C0741">
              <w:rPr>
                <w:rFonts w:ascii="Arial Narrow" w:hAnsi="Arial Narrow" w:cs="Arial"/>
                <w:sz w:val="22"/>
                <w:szCs w:val="22"/>
              </w:rPr>
              <w:t xml:space="preserve"> and communication technology equipment – Part </w:t>
            </w:r>
            <w:r w:rsidR="004A017B" w:rsidRPr="001C0741">
              <w:rPr>
                <w:rFonts w:ascii="Arial Narrow" w:hAnsi="Arial Narrow" w:cs="Arial"/>
                <w:sz w:val="22"/>
                <w:szCs w:val="22"/>
              </w:rPr>
              <w:t>2</w:t>
            </w:r>
            <w:r w:rsidRPr="001C0741">
              <w:rPr>
                <w:rFonts w:ascii="Arial Narrow" w:hAnsi="Arial Narrow" w:cs="Arial"/>
                <w:sz w:val="22"/>
                <w:szCs w:val="22"/>
              </w:rPr>
              <w:t xml:space="preserve">: </w:t>
            </w:r>
            <w:r w:rsidR="00434ED1" w:rsidRPr="001C0741">
              <w:rPr>
                <w:rFonts w:ascii="Arial Narrow" w:hAnsi="Arial Narrow" w:cs="Arial"/>
                <w:sz w:val="22"/>
                <w:szCs w:val="22"/>
              </w:rPr>
              <w:t>Explanatory information related to IEC 62368-1:2018</w:t>
            </w:r>
          </w:p>
          <w:p w14:paraId="3B72BCDF" w14:textId="2544C8FE" w:rsidR="001C0F0F" w:rsidRPr="001C0741" w:rsidRDefault="004D2BA6" w:rsidP="004D2BA6">
            <w:pPr>
              <w:spacing w:after="120"/>
              <w:ind w:left="720" w:right="176" w:hanging="720"/>
              <w:jc w:val="both"/>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Pr>
                <w:rFonts w:ascii="Arial Narrow" w:hAnsi="Arial Narrow" w:cs="Segoe UI"/>
                <w:b/>
                <w:bCs/>
                <w:sz w:val="22"/>
                <w:szCs w:val="22"/>
              </w:rPr>
              <w:t>Scope</w:t>
            </w:r>
            <w:r w:rsidR="001C0F0F" w:rsidRPr="001C0741">
              <w:rPr>
                <w:rFonts w:ascii="Arial Narrow" w:hAnsi="Arial Narrow" w:cs="Segoe UI"/>
                <w:sz w:val="22"/>
                <w:szCs w:val="22"/>
              </w:rPr>
              <w:t xml:space="preserve">: </w:t>
            </w:r>
            <w:r w:rsidR="001C0F0F" w:rsidRPr="001C0741">
              <w:rPr>
                <w:rFonts w:ascii="Arial Narrow" w:hAnsi="Arial Narrow" w:cs="Segoe UI"/>
                <w:sz w:val="22"/>
                <w:szCs w:val="22"/>
              </w:rPr>
              <w:tab/>
            </w:r>
            <w:r w:rsidR="002D3E30" w:rsidRPr="002D3E30">
              <w:rPr>
                <w:rFonts w:ascii="Arial Narrow" w:hAnsi="Arial Narrow" w:cs="Segoe UI"/>
                <w:sz w:val="22"/>
                <w:szCs w:val="22"/>
              </w:rPr>
              <w:t xml:space="preserve">IEC TR 62368-2:2019 provides explanatory information related to IEC 62368-1. Only those subclauses considered to need further background reference information or explanation of their content to benefit the reader are included. Therefore, not all numbered subclauses are cited. Unless otherwise noted, all references are to clauses, subclauses, annexes, </w:t>
            </w:r>
            <w:proofErr w:type="gramStart"/>
            <w:r w:rsidR="002D3E30" w:rsidRPr="002D3E30">
              <w:rPr>
                <w:rFonts w:ascii="Arial Narrow" w:hAnsi="Arial Narrow" w:cs="Segoe UI"/>
                <w:sz w:val="22"/>
                <w:szCs w:val="22"/>
              </w:rPr>
              <w:t>figures</w:t>
            </w:r>
            <w:proofErr w:type="gramEnd"/>
            <w:r w:rsidR="002D3E30" w:rsidRPr="002D3E30">
              <w:rPr>
                <w:rFonts w:ascii="Arial Narrow" w:hAnsi="Arial Narrow" w:cs="Segoe UI"/>
                <w:sz w:val="22"/>
                <w:szCs w:val="22"/>
              </w:rPr>
              <w:t xml:space="preserve"> or tables located in IEC 62368-1:2018. This Technical Report is informative only. In case of a conflict between IEC 62368-1 and IEC TR 62368-2, the requirements in IEC 62368-1 prevail over this Technical Report.</w:t>
            </w:r>
          </w:p>
        </w:tc>
        <w:tc>
          <w:tcPr>
            <w:tcW w:w="1559" w:type="dxa"/>
            <w:hideMark/>
          </w:tcPr>
          <w:p w14:paraId="3BC4963F" w14:textId="77777777" w:rsidR="001C0F0F" w:rsidRPr="00034702" w:rsidRDefault="001C0F0F" w:rsidP="001C0F0F">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034702">
              <w:rPr>
                <w:rFonts w:ascii="Calibri" w:hAnsi="Calibri" w:cs="Calibri"/>
                <w:color w:val="000000"/>
                <w:sz w:val="22"/>
                <w:szCs w:val="22"/>
              </w:rPr>
              <w:t> </w:t>
            </w:r>
          </w:p>
        </w:tc>
        <w:tc>
          <w:tcPr>
            <w:tcW w:w="1990" w:type="dxa"/>
            <w:hideMark/>
          </w:tcPr>
          <w:p w14:paraId="7FC4C38D" w14:textId="77777777" w:rsidR="001C0F0F" w:rsidRPr="00034702" w:rsidRDefault="001C0F0F" w:rsidP="001C0F0F">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034702">
              <w:rPr>
                <w:rFonts w:ascii="Calibri" w:hAnsi="Calibri" w:cs="Calibri"/>
                <w:color w:val="000000"/>
                <w:sz w:val="22"/>
                <w:szCs w:val="22"/>
              </w:rPr>
              <w:t> </w:t>
            </w:r>
          </w:p>
        </w:tc>
        <w:tc>
          <w:tcPr>
            <w:tcW w:w="3873" w:type="dxa"/>
            <w:hideMark/>
          </w:tcPr>
          <w:p w14:paraId="3A8F022B" w14:textId="77777777" w:rsidR="001C0F0F" w:rsidRPr="00034702" w:rsidRDefault="001C0F0F" w:rsidP="001C0F0F">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034702">
              <w:rPr>
                <w:rFonts w:ascii="Calibri" w:hAnsi="Calibri" w:cs="Calibri"/>
                <w:color w:val="000000"/>
                <w:sz w:val="22"/>
                <w:szCs w:val="22"/>
              </w:rPr>
              <w:t> </w:t>
            </w:r>
          </w:p>
        </w:tc>
      </w:tr>
      <w:tr w:rsidR="00A81B78" w:rsidRPr="00034702" w14:paraId="1EB2579E" w14:textId="77777777" w:rsidTr="001919F4">
        <w:tc>
          <w:tcPr>
            <w:cnfStyle w:val="001000000000" w:firstRow="0" w:lastRow="0" w:firstColumn="1" w:lastColumn="0" w:oddVBand="0" w:evenVBand="0" w:oddHBand="0" w:evenHBand="0" w:firstRowFirstColumn="0" w:firstRowLastColumn="0" w:lastRowFirstColumn="0" w:lastRowLastColumn="0"/>
            <w:tcW w:w="784" w:type="dxa"/>
            <w:hideMark/>
          </w:tcPr>
          <w:p w14:paraId="5795B91D" w14:textId="77777777" w:rsidR="00A81B78" w:rsidRPr="00034702" w:rsidRDefault="00A81B78" w:rsidP="00A81B78">
            <w:pPr>
              <w:numPr>
                <w:ilvl w:val="0"/>
                <w:numId w:val="6"/>
              </w:numPr>
              <w:textAlignment w:val="baseline"/>
              <w:rPr>
                <w:rFonts w:ascii="Calibri" w:hAnsi="Calibri" w:cs="Calibri"/>
                <w:sz w:val="22"/>
                <w:szCs w:val="22"/>
              </w:rPr>
            </w:pPr>
            <w:r w:rsidRPr="00034702">
              <w:rPr>
                <w:rFonts w:ascii="Calibri" w:hAnsi="Calibri" w:cs="Calibri"/>
                <w:color w:val="000000"/>
                <w:sz w:val="22"/>
                <w:szCs w:val="22"/>
              </w:rPr>
              <w:t> </w:t>
            </w:r>
          </w:p>
        </w:tc>
        <w:tc>
          <w:tcPr>
            <w:tcW w:w="5732" w:type="dxa"/>
          </w:tcPr>
          <w:p w14:paraId="2C6F71D4" w14:textId="0B67939F" w:rsidR="00A81B78" w:rsidRPr="00975BC0" w:rsidRDefault="00A81B78" w:rsidP="00C25209">
            <w:pPr>
              <w:tabs>
                <w:tab w:val="left" w:pos="839"/>
              </w:tabs>
              <w:spacing w:after="120"/>
              <w:ind w:right="173"/>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r w:rsidRPr="00975BC0">
              <w:rPr>
                <w:rFonts w:ascii="Arial Narrow" w:hAnsi="Arial Narrow" w:cs="Arial"/>
                <w:b/>
                <w:bCs/>
                <w:sz w:val="22"/>
                <w:szCs w:val="22"/>
              </w:rPr>
              <w:t>Number</w:t>
            </w:r>
            <w:r w:rsidRPr="00975BC0">
              <w:rPr>
                <w:rFonts w:ascii="Arial Narrow" w:hAnsi="Arial Narrow" w:cs="Arial"/>
                <w:sz w:val="22"/>
                <w:szCs w:val="22"/>
              </w:rPr>
              <w:t>:</w:t>
            </w:r>
            <w:r w:rsidRPr="00975BC0">
              <w:rPr>
                <w:rFonts w:ascii="Arial Narrow" w:hAnsi="Arial Narrow" w:cs="Arial"/>
                <w:sz w:val="22"/>
                <w:szCs w:val="22"/>
              </w:rPr>
              <w:tab/>
              <w:t>IEC 62368-</w:t>
            </w:r>
            <w:r w:rsidRPr="00975BC0">
              <w:rPr>
                <w:rFonts w:ascii="Arial Narrow" w:hAnsi="Arial Narrow" w:cs="Arial"/>
                <w:sz w:val="22"/>
                <w:szCs w:val="22"/>
              </w:rPr>
              <w:t>3</w:t>
            </w:r>
            <w:r w:rsidRPr="00975BC0">
              <w:rPr>
                <w:rFonts w:ascii="Arial Narrow" w:hAnsi="Arial Narrow" w:cs="Arial"/>
                <w:sz w:val="22"/>
                <w:szCs w:val="22"/>
              </w:rPr>
              <w:t>:2019 (</w:t>
            </w:r>
            <w:hyperlink r:id="rId15" w:history="1">
              <w:r w:rsidR="00975BC0" w:rsidRPr="00975BC0">
                <w:rPr>
                  <w:rStyle w:val="Hyperlink"/>
                  <w:rFonts w:ascii="Arial Narrow" w:hAnsi="Arial Narrow"/>
                  <w:sz w:val="22"/>
                  <w:szCs w:val="22"/>
                </w:rPr>
                <w:t>info_iec62368-3{ed1.</w:t>
              </w:r>
              <w:proofErr w:type="gramStart"/>
              <w:r w:rsidR="00975BC0" w:rsidRPr="00975BC0">
                <w:rPr>
                  <w:rStyle w:val="Hyperlink"/>
                  <w:rFonts w:ascii="Arial Narrow" w:hAnsi="Arial Narrow"/>
                  <w:sz w:val="22"/>
                  <w:szCs w:val="22"/>
                </w:rPr>
                <w:t>0}b.pdf</w:t>
              </w:r>
              <w:proofErr w:type="gramEnd"/>
            </w:hyperlink>
            <w:r w:rsidRPr="00975BC0">
              <w:rPr>
                <w:rFonts w:ascii="Arial Narrow" w:hAnsi="Arial Narrow"/>
                <w:sz w:val="22"/>
                <w:szCs w:val="22"/>
              </w:rPr>
              <w:t>)</w:t>
            </w:r>
          </w:p>
          <w:p w14:paraId="4A6E997F" w14:textId="316AE206" w:rsidR="00A81B78" w:rsidRPr="001C0741" w:rsidRDefault="00A81B78" w:rsidP="00C25209">
            <w:pPr>
              <w:tabs>
                <w:tab w:val="left" w:pos="839"/>
              </w:tabs>
              <w:spacing w:after="120"/>
              <w:ind w:left="839" w:right="173" w:hanging="839"/>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sz w:val="22"/>
                <w:szCs w:val="22"/>
              </w:rPr>
            </w:pPr>
            <w:r w:rsidRPr="001C0741">
              <w:rPr>
                <w:rFonts w:ascii="Arial Narrow" w:hAnsi="Arial Narrow" w:cs="Segoe UI"/>
                <w:b/>
                <w:bCs/>
                <w:sz w:val="22"/>
                <w:szCs w:val="22"/>
              </w:rPr>
              <w:lastRenderedPageBreak/>
              <w:t>Title</w:t>
            </w:r>
            <w:r w:rsidRPr="001C0741">
              <w:rPr>
                <w:rFonts w:ascii="Arial Narrow" w:hAnsi="Arial Narrow" w:cs="Segoe UI"/>
                <w:sz w:val="22"/>
                <w:szCs w:val="22"/>
              </w:rPr>
              <w:t>:</w:t>
            </w:r>
            <w:r w:rsidRPr="001C0741">
              <w:rPr>
                <w:rFonts w:ascii="Arial Narrow" w:hAnsi="Arial Narrow" w:cs="Arial"/>
                <w:sz w:val="22"/>
                <w:szCs w:val="22"/>
              </w:rPr>
              <w:t xml:space="preserve"> </w:t>
            </w:r>
            <w:r w:rsidRPr="001C0741">
              <w:rPr>
                <w:rFonts w:ascii="Arial Narrow" w:hAnsi="Arial Narrow" w:cs="Arial"/>
                <w:sz w:val="22"/>
                <w:szCs w:val="22"/>
              </w:rPr>
              <w:tab/>
              <w:t xml:space="preserve">Audio/video, </w:t>
            </w:r>
            <w:proofErr w:type="gramStart"/>
            <w:r w:rsidRPr="001C0741">
              <w:rPr>
                <w:rFonts w:ascii="Arial Narrow" w:hAnsi="Arial Narrow" w:cs="Arial"/>
                <w:sz w:val="22"/>
                <w:szCs w:val="22"/>
              </w:rPr>
              <w:t>information</w:t>
            </w:r>
            <w:proofErr w:type="gramEnd"/>
            <w:r w:rsidRPr="001C0741">
              <w:rPr>
                <w:rFonts w:ascii="Arial Narrow" w:hAnsi="Arial Narrow" w:cs="Arial"/>
                <w:sz w:val="22"/>
                <w:szCs w:val="22"/>
              </w:rPr>
              <w:t xml:space="preserve"> and communication technology equipment – Part </w:t>
            </w:r>
            <w:r w:rsidR="00EE579E">
              <w:rPr>
                <w:rFonts w:ascii="Arial Narrow" w:hAnsi="Arial Narrow" w:cs="Arial"/>
                <w:sz w:val="22"/>
                <w:szCs w:val="22"/>
              </w:rPr>
              <w:t>3</w:t>
            </w:r>
            <w:r w:rsidRPr="001C0741">
              <w:rPr>
                <w:rFonts w:ascii="Arial Narrow" w:hAnsi="Arial Narrow" w:cs="Arial"/>
                <w:sz w:val="22"/>
                <w:szCs w:val="22"/>
              </w:rPr>
              <w:t xml:space="preserve">: </w:t>
            </w:r>
            <w:r w:rsidR="00EE579E" w:rsidRPr="00EE579E">
              <w:rPr>
                <w:rFonts w:ascii="Arial Narrow" w:hAnsi="Arial Narrow" w:cs="Arial"/>
                <w:sz w:val="22"/>
                <w:szCs w:val="22"/>
              </w:rPr>
              <w:t>Safety aspects for DC power transfer through communication cables and ports</w:t>
            </w:r>
          </w:p>
          <w:p w14:paraId="1ACE85C6" w14:textId="679A86F1" w:rsidR="00D56063" w:rsidRPr="00D56063" w:rsidRDefault="00A81B78" w:rsidP="00C25209">
            <w:pPr>
              <w:spacing w:after="120"/>
              <w:ind w:left="720" w:right="173" w:hanging="720"/>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sz w:val="22"/>
                <w:szCs w:val="22"/>
              </w:rPr>
            </w:pPr>
            <w:r>
              <w:rPr>
                <w:rFonts w:ascii="Arial Narrow" w:hAnsi="Arial Narrow" w:cs="Segoe UI"/>
                <w:b/>
                <w:bCs/>
                <w:sz w:val="22"/>
                <w:szCs w:val="22"/>
              </w:rPr>
              <w:t>Scope</w:t>
            </w:r>
            <w:r w:rsidRPr="001C0741">
              <w:rPr>
                <w:rFonts w:ascii="Arial Narrow" w:hAnsi="Arial Narrow" w:cs="Segoe UI"/>
                <w:sz w:val="22"/>
                <w:szCs w:val="22"/>
              </w:rPr>
              <w:t xml:space="preserve">: </w:t>
            </w:r>
            <w:r w:rsidRPr="001C0741">
              <w:rPr>
                <w:rFonts w:ascii="Arial Narrow" w:hAnsi="Arial Narrow" w:cs="Segoe UI"/>
                <w:sz w:val="22"/>
                <w:szCs w:val="22"/>
              </w:rPr>
              <w:tab/>
            </w:r>
            <w:r w:rsidR="00D56063" w:rsidRPr="00D56063">
              <w:rPr>
                <w:rFonts w:ascii="Arial Narrow" w:hAnsi="Arial Narrow" w:cs="Segoe UI"/>
                <w:sz w:val="22"/>
                <w:szCs w:val="22"/>
              </w:rPr>
              <w:t xml:space="preserve">This part of IEC 62368 applies to equipment intended to supply and receive operating power through communication cables or ports. It covers </w:t>
            </w:r>
            <w:proofErr w:type="gramStart"/>
            <w:r w:rsidR="00D56063" w:rsidRPr="00D56063">
              <w:rPr>
                <w:rFonts w:ascii="Arial Narrow" w:hAnsi="Arial Narrow" w:cs="Segoe UI"/>
                <w:sz w:val="22"/>
                <w:szCs w:val="22"/>
              </w:rPr>
              <w:t>particular requirements</w:t>
            </w:r>
            <w:proofErr w:type="gramEnd"/>
            <w:r w:rsidR="00D56063" w:rsidRPr="00D56063">
              <w:rPr>
                <w:rFonts w:ascii="Arial Narrow" w:hAnsi="Arial Narrow" w:cs="Segoe UI"/>
                <w:sz w:val="22"/>
                <w:szCs w:val="22"/>
              </w:rPr>
              <w:t xml:space="preserve"> for circuits that are</w:t>
            </w:r>
            <w:r w:rsidR="00D56063">
              <w:rPr>
                <w:rFonts w:ascii="Arial Narrow" w:hAnsi="Arial Narrow" w:cs="Segoe UI"/>
                <w:sz w:val="22"/>
                <w:szCs w:val="22"/>
              </w:rPr>
              <w:t xml:space="preserve"> </w:t>
            </w:r>
            <w:r w:rsidR="00D56063" w:rsidRPr="00D56063">
              <w:rPr>
                <w:rFonts w:ascii="Arial Narrow" w:hAnsi="Arial Narrow" w:cs="Segoe UI"/>
                <w:sz w:val="22"/>
                <w:szCs w:val="22"/>
              </w:rPr>
              <w:t xml:space="preserve">designed to transfer DC power from a power sourcing equipment (PSE) to a powered device (PD). </w:t>
            </w:r>
          </w:p>
          <w:p w14:paraId="06B26C43" w14:textId="44B9E406" w:rsidR="00D56063" w:rsidRPr="00D56063" w:rsidRDefault="00D56063" w:rsidP="00C25209">
            <w:pPr>
              <w:spacing w:after="120"/>
              <w:ind w:left="720" w:right="173"/>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sz w:val="22"/>
                <w:szCs w:val="22"/>
              </w:rPr>
            </w:pPr>
            <w:r w:rsidRPr="00D56063">
              <w:rPr>
                <w:rFonts w:ascii="Arial Narrow" w:hAnsi="Arial Narrow" w:cs="Segoe UI"/>
                <w:sz w:val="22"/>
                <w:szCs w:val="22"/>
              </w:rPr>
              <w:t>The power transfer uses voltages at ES1 or ES2 or in very specific cases voltage levels at</w:t>
            </w:r>
            <w:r w:rsidR="002A2BEF">
              <w:rPr>
                <w:rFonts w:ascii="Arial Narrow" w:hAnsi="Arial Narrow" w:cs="Segoe UI"/>
                <w:sz w:val="22"/>
                <w:szCs w:val="22"/>
              </w:rPr>
              <w:t xml:space="preserve"> </w:t>
            </w:r>
            <w:r w:rsidRPr="00D56063">
              <w:rPr>
                <w:rFonts w:ascii="Arial Narrow" w:hAnsi="Arial Narrow" w:cs="Segoe UI"/>
                <w:sz w:val="22"/>
                <w:szCs w:val="22"/>
              </w:rPr>
              <w:t>ES3.</w:t>
            </w:r>
          </w:p>
          <w:p w14:paraId="62F0915B" w14:textId="6E7F2CA5" w:rsidR="00D56063" w:rsidRPr="00421B63" w:rsidRDefault="00D56063" w:rsidP="00C25209">
            <w:pPr>
              <w:spacing w:after="120"/>
              <w:ind w:left="720" w:right="173"/>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sz w:val="18"/>
                <w:szCs w:val="18"/>
              </w:rPr>
            </w:pPr>
            <w:r w:rsidRPr="00421B63">
              <w:rPr>
                <w:rFonts w:ascii="Arial Narrow" w:hAnsi="Arial Narrow" w:cs="Segoe UI"/>
                <w:sz w:val="18"/>
                <w:szCs w:val="18"/>
              </w:rPr>
              <w:t>NOTE 1 ES1 can generally be assumed to have similar limits as non-hazardous voltage definitions used in other standards (for example, SELV, PELV).</w:t>
            </w:r>
          </w:p>
          <w:p w14:paraId="5AFCF009" w14:textId="67468098" w:rsidR="00D56063" w:rsidRPr="00421B63" w:rsidRDefault="00D56063" w:rsidP="00C25209">
            <w:pPr>
              <w:spacing w:after="120"/>
              <w:ind w:left="720" w:right="173"/>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sz w:val="18"/>
                <w:szCs w:val="18"/>
              </w:rPr>
            </w:pPr>
            <w:r w:rsidRPr="00421B63">
              <w:rPr>
                <w:rFonts w:ascii="Arial Narrow" w:hAnsi="Arial Narrow" w:cs="Segoe UI"/>
                <w:sz w:val="18"/>
                <w:szCs w:val="18"/>
              </w:rPr>
              <w:t>NOTE 2 ES2 can generally be assumed to have similar limits for single fault conditions as non-hazardous voltage definitions used in other standards.</w:t>
            </w:r>
          </w:p>
          <w:p w14:paraId="4B685A41" w14:textId="2738EA5E" w:rsidR="00D56063" w:rsidRPr="00421B63" w:rsidRDefault="00D56063" w:rsidP="00C25209">
            <w:pPr>
              <w:spacing w:after="120"/>
              <w:ind w:left="720" w:right="173"/>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sz w:val="18"/>
                <w:szCs w:val="18"/>
              </w:rPr>
            </w:pPr>
            <w:r w:rsidRPr="00421B63">
              <w:rPr>
                <w:rFonts w:ascii="Arial Narrow" w:hAnsi="Arial Narrow" w:cs="Segoe UI"/>
                <w:sz w:val="18"/>
                <w:szCs w:val="18"/>
              </w:rPr>
              <w:t xml:space="preserve">NOTE 3 PS2 circuits are generally expected to provide less than 100 W to an undefined load under both normal operating conditions and single fault conditions. </w:t>
            </w:r>
          </w:p>
          <w:p w14:paraId="7D5B464D" w14:textId="77777777" w:rsidR="00D56063" w:rsidRPr="00421B63" w:rsidRDefault="00D56063" w:rsidP="00C25209">
            <w:pPr>
              <w:spacing w:after="120"/>
              <w:ind w:left="720" w:right="173"/>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sz w:val="18"/>
                <w:szCs w:val="18"/>
              </w:rPr>
            </w:pPr>
            <w:r w:rsidRPr="00421B63">
              <w:rPr>
                <w:rFonts w:ascii="Arial Narrow" w:hAnsi="Arial Narrow" w:cs="Segoe UI"/>
                <w:sz w:val="18"/>
                <w:szCs w:val="18"/>
              </w:rPr>
              <w:t>EXAMPLES</w:t>
            </w:r>
          </w:p>
          <w:p w14:paraId="31A4FE3F" w14:textId="77777777" w:rsidR="00D56063" w:rsidRPr="00421B63" w:rsidRDefault="00D56063" w:rsidP="00C25209">
            <w:pPr>
              <w:spacing w:after="120"/>
              <w:ind w:left="830" w:right="173"/>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sz w:val="18"/>
                <w:szCs w:val="18"/>
              </w:rPr>
            </w:pPr>
            <w:r w:rsidRPr="00421B63">
              <w:rPr>
                <w:rFonts w:ascii="Arial Narrow" w:hAnsi="Arial Narrow" w:cs="Segoe UI"/>
                <w:sz w:val="18"/>
                <w:szCs w:val="18"/>
              </w:rPr>
              <w:t>– For power transfer using voltages at ES1: USB, PoE, ISDN S0, etc.</w:t>
            </w:r>
          </w:p>
          <w:p w14:paraId="21BA7D8C" w14:textId="77777777" w:rsidR="00D56063" w:rsidRPr="00421B63" w:rsidRDefault="00D56063" w:rsidP="00C25209">
            <w:pPr>
              <w:spacing w:after="120"/>
              <w:ind w:left="830" w:right="173"/>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sz w:val="18"/>
                <w:szCs w:val="18"/>
              </w:rPr>
            </w:pPr>
            <w:r w:rsidRPr="00421B63">
              <w:rPr>
                <w:rFonts w:ascii="Arial Narrow" w:hAnsi="Arial Narrow" w:cs="Segoe UI"/>
                <w:sz w:val="18"/>
                <w:szCs w:val="18"/>
              </w:rPr>
              <w:t>– For power transfer using voltages at ES2: analogue telephone during ringing, ISDN U, etc.</w:t>
            </w:r>
          </w:p>
          <w:p w14:paraId="74E12B52" w14:textId="70B2CD79" w:rsidR="00D56063" w:rsidRPr="00421B63" w:rsidRDefault="00D56063" w:rsidP="00C25209">
            <w:pPr>
              <w:spacing w:after="120"/>
              <w:ind w:left="830" w:right="173"/>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sz w:val="18"/>
                <w:szCs w:val="18"/>
              </w:rPr>
            </w:pPr>
            <w:r w:rsidRPr="00421B63">
              <w:rPr>
                <w:rFonts w:ascii="Arial Narrow" w:hAnsi="Arial Narrow" w:cs="Segoe UI"/>
                <w:sz w:val="18"/>
                <w:szCs w:val="18"/>
              </w:rPr>
              <w:t xml:space="preserve">– For power transfer using voltages at ES3: power feeding used by communications service providers and utilities communication circuits (for example, RFT circuits, such as line powered </w:t>
            </w:r>
            <w:proofErr w:type="spellStart"/>
            <w:r w:rsidRPr="00421B63">
              <w:rPr>
                <w:rFonts w:ascii="Arial Narrow" w:hAnsi="Arial Narrow" w:cs="Segoe UI"/>
                <w:sz w:val="18"/>
                <w:szCs w:val="18"/>
              </w:rPr>
              <w:t>HDSLx</w:t>
            </w:r>
            <w:proofErr w:type="spellEnd"/>
            <w:r w:rsidRPr="00421B63">
              <w:rPr>
                <w:rFonts w:ascii="Arial Narrow" w:hAnsi="Arial Narrow" w:cs="Segoe UI"/>
                <w:sz w:val="18"/>
                <w:szCs w:val="18"/>
              </w:rPr>
              <w:t xml:space="preserve">, </w:t>
            </w:r>
            <w:proofErr w:type="spellStart"/>
            <w:r w:rsidRPr="00421B63">
              <w:rPr>
                <w:rFonts w:ascii="Arial Narrow" w:hAnsi="Arial Narrow" w:cs="Segoe UI"/>
                <w:sz w:val="18"/>
                <w:szCs w:val="18"/>
              </w:rPr>
              <w:t>SHDSLx</w:t>
            </w:r>
            <w:proofErr w:type="spellEnd"/>
            <w:r w:rsidRPr="00421B63">
              <w:rPr>
                <w:rFonts w:ascii="Arial Narrow" w:hAnsi="Arial Narrow" w:cs="Segoe UI"/>
                <w:sz w:val="18"/>
                <w:szCs w:val="18"/>
              </w:rPr>
              <w:t xml:space="preserve">, </w:t>
            </w:r>
            <w:proofErr w:type="spellStart"/>
            <w:r w:rsidRPr="00421B63">
              <w:rPr>
                <w:rFonts w:ascii="Arial Narrow" w:hAnsi="Arial Narrow" w:cs="Segoe UI"/>
                <w:sz w:val="18"/>
                <w:szCs w:val="18"/>
              </w:rPr>
              <w:t>VDSLx</w:t>
            </w:r>
            <w:proofErr w:type="spellEnd"/>
            <w:r w:rsidRPr="00421B63">
              <w:rPr>
                <w:rFonts w:ascii="Arial Narrow" w:hAnsi="Arial Narrow" w:cs="Segoe UI"/>
                <w:sz w:val="18"/>
                <w:szCs w:val="18"/>
              </w:rPr>
              <w:t xml:space="preserve"> and </w:t>
            </w:r>
            <w:proofErr w:type="gramStart"/>
            <w:r w:rsidRPr="00421B63">
              <w:rPr>
                <w:rFonts w:ascii="Arial Narrow" w:hAnsi="Arial Narrow" w:cs="Segoe UI"/>
                <w:sz w:val="18"/>
                <w:szCs w:val="18"/>
              </w:rPr>
              <w:t>G</w:t>
            </w:r>
            <w:proofErr w:type="spellStart"/>
            <w:r w:rsidRPr="00421B63">
              <w:rPr>
                <w:rFonts w:ascii="Arial Narrow" w:hAnsi="Arial Narrow" w:cs="Segoe UI"/>
                <w:sz w:val="18"/>
                <w:szCs w:val="18"/>
              </w:rPr>
              <w:t>.fast</w:t>
            </w:r>
            <w:proofErr w:type="spellEnd"/>
            <w:proofErr w:type="gramEnd"/>
            <w:r w:rsidRPr="00421B63">
              <w:rPr>
                <w:rFonts w:ascii="Arial Narrow" w:hAnsi="Arial Narrow" w:cs="Segoe UI"/>
                <w:sz w:val="18"/>
                <w:szCs w:val="18"/>
              </w:rPr>
              <w:t xml:space="preserve">). </w:t>
            </w:r>
          </w:p>
          <w:p w14:paraId="608702D0" w14:textId="417EF774" w:rsidR="00D56063" w:rsidRPr="00750A14" w:rsidRDefault="00D56063" w:rsidP="00C25209">
            <w:pPr>
              <w:spacing w:after="120"/>
              <w:ind w:left="720" w:right="173"/>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sz w:val="18"/>
                <w:szCs w:val="18"/>
              </w:rPr>
            </w:pPr>
            <w:r w:rsidRPr="00750A14">
              <w:rPr>
                <w:rFonts w:ascii="Arial Narrow" w:hAnsi="Arial Narrow" w:cs="Segoe UI"/>
                <w:sz w:val="18"/>
                <w:szCs w:val="18"/>
              </w:rPr>
              <w:t xml:space="preserve">NOTE 4 Any cable provided with a connector defined by an industry standard that permits DC power transfer between equipment is considered a communication cable even if communication does not take place. For example, a USB cable can be used just to recharge a portable device battery. </w:t>
            </w:r>
          </w:p>
          <w:p w14:paraId="49A74DD4" w14:textId="4BD59D59" w:rsidR="00D56063" w:rsidRPr="00750A14" w:rsidRDefault="00D56063" w:rsidP="00C25209">
            <w:pPr>
              <w:spacing w:after="120"/>
              <w:ind w:left="720" w:right="173"/>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sz w:val="18"/>
                <w:szCs w:val="18"/>
              </w:rPr>
            </w:pPr>
            <w:r w:rsidRPr="00750A14">
              <w:rPr>
                <w:rFonts w:ascii="Arial Narrow" w:hAnsi="Arial Narrow" w:cs="Segoe UI"/>
                <w:sz w:val="18"/>
                <w:szCs w:val="18"/>
              </w:rPr>
              <w:lastRenderedPageBreak/>
              <w:t xml:space="preserve">This group safety publication is primarily intended to be used as a product safety standard for the products mentioned in the </w:t>
            </w:r>
            <w:proofErr w:type="gramStart"/>
            <w:r w:rsidRPr="00750A14">
              <w:rPr>
                <w:rFonts w:ascii="Arial Narrow" w:hAnsi="Arial Narrow" w:cs="Segoe UI"/>
                <w:sz w:val="18"/>
                <w:szCs w:val="18"/>
              </w:rPr>
              <w:t>scope, but</w:t>
            </w:r>
            <w:proofErr w:type="gramEnd"/>
            <w:r w:rsidRPr="00750A14">
              <w:rPr>
                <w:rFonts w:ascii="Arial Narrow" w:hAnsi="Arial Narrow" w:cs="Segoe UI"/>
                <w:sz w:val="18"/>
                <w:szCs w:val="18"/>
              </w:rPr>
              <w:t xml:space="preserve"> shall also be used by technical committees in the preparation of standards for products similar to those mentioned in the scope of this standard, in accordance with the principles laid down in IEC Guide 104 and </w:t>
            </w:r>
            <w:proofErr w:type="spellStart"/>
            <w:r w:rsidRPr="00750A14">
              <w:rPr>
                <w:rFonts w:ascii="Arial Narrow" w:hAnsi="Arial Narrow" w:cs="Segoe UI"/>
                <w:sz w:val="18"/>
                <w:szCs w:val="18"/>
              </w:rPr>
              <w:t>lSO</w:t>
            </w:r>
            <w:proofErr w:type="spellEnd"/>
            <w:r w:rsidRPr="00750A14">
              <w:rPr>
                <w:rFonts w:ascii="Arial Narrow" w:hAnsi="Arial Narrow" w:cs="Segoe UI"/>
                <w:sz w:val="18"/>
                <w:szCs w:val="18"/>
              </w:rPr>
              <w:t>/</w:t>
            </w:r>
            <w:proofErr w:type="spellStart"/>
            <w:r w:rsidRPr="00750A14">
              <w:rPr>
                <w:rFonts w:ascii="Arial Narrow" w:hAnsi="Arial Narrow" w:cs="Segoe UI"/>
                <w:sz w:val="18"/>
                <w:szCs w:val="18"/>
              </w:rPr>
              <w:t>lEC</w:t>
            </w:r>
            <w:proofErr w:type="spellEnd"/>
            <w:r w:rsidRPr="00750A14">
              <w:rPr>
                <w:rFonts w:ascii="Arial Narrow" w:hAnsi="Arial Narrow" w:cs="Segoe UI"/>
                <w:sz w:val="18"/>
                <w:szCs w:val="18"/>
              </w:rPr>
              <w:t xml:space="preserve"> Guide 51.</w:t>
            </w:r>
          </w:p>
          <w:p w14:paraId="521AA8DC" w14:textId="6887163E" w:rsidR="00A81B78" w:rsidRPr="00034702" w:rsidRDefault="00D56063" w:rsidP="00C25209">
            <w:pPr>
              <w:spacing w:after="120"/>
              <w:ind w:left="720" w:right="173"/>
              <w:jc w:val="both"/>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750A14">
              <w:rPr>
                <w:rFonts w:ascii="Arial Narrow" w:hAnsi="Arial Narrow" w:cs="Segoe UI"/>
                <w:sz w:val="18"/>
                <w:szCs w:val="18"/>
              </w:rPr>
              <w:t xml:space="preserve">One of the responsibilities of a technical committee is, wherever applicable, to make use of basic safety publications and/or group safety publications in the preparation of its </w:t>
            </w:r>
            <w:proofErr w:type="gramStart"/>
            <w:r w:rsidRPr="00750A14">
              <w:rPr>
                <w:rFonts w:ascii="Arial Narrow" w:hAnsi="Arial Narrow" w:cs="Segoe UI"/>
                <w:sz w:val="18"/>
                <w:szCs w:val="18"/>
              </w:rPr>
              <w:t>publications.</w:t>
            </w:r>
            <w:r w:rsidR="00A81B78" w:rsidRPr="00750A14">
              <w:rPr>
                <w:rFonts w:ascii="Arial Narrow" w:hAnsi="Arial Narrow" w:cs="Segoe UI"/>
                <w:sz w:val="18"/>
                <w:szCs w:val="18"/>
              </w:rPr>
              <w:t>.</w:t>
            </w:r>
            <w:proofErr w:type="gramEnd"/>
          </w:p>
        </w:tc>
        <w:tc>
          <w:tcPr>
            <w:tcW w:w="1559" w:type="dxa"/>
            <w:hideMark/>
          </w:tcPr>
          <w:p w14:paraId="63CCCF1F" w14:textId="77777777" w:rsidR="00A81B78" w:rsidRPr="00034702" w:rsidRDefault="00A81B78" w:rsidP="00A81B78">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034702">
              <w:rPr>
                <w:rFonts w:ascii="Calibri" w:hAnsi="Calibri" w:cs="Calibri"/>
                <w:color w:val="000000"/>
                <w:sz w:val="22"/>
                <w:szCs w:val="22"/>
              </w:rPr>
              <w:lastRenderedPageBreak/>
              <w:t> </w:t>
            </w:r>
          </w:p>
        </w:tc>
        <w:tc>
          <w:tcPr>
            <w:tcW w:w="1990" w:type="dxa"/>
            <w:hideMark/>
          </w:tcPr>
          <w:p w14:paraId="4332B1E0" w14:textId="77777777" w:rsidR="00A81B78" w:rsidRPr="00034702" w:rsidRDefault="00A81B78" w:rsidP="00A81B78">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034702">
              <w:rPr>
                <w:rFonts w:ascii="Calibri" w:hAnsi="Calibri" w:cs="Calibri"/>
                <w:color w:val="000000"/>
                <w:sz w:val="22"/>
                <w:szCs w:val="22"/>
              </w:rPr>
              <w:t> </w:t>
            </w:r>
          </w:p>
        </w:tc>
        <w:tc>
          <w:tcPr>
            <w:tcW w:w="3873" w:type="dxa"/>
            <w:hideMark/>
          </w:tcPr>
          <w:p w14:paraId="0ADEC182" w14:textId="77777777" w:rsidR="00A81B78" w:rsidRPr="00034702" w:rsidRDefault="00A81B78" w:rsidP="00A81B78">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034702">
              <w:rPr>
                <w:rFonts w:ascii="Calibri" w:hAnsi="Calibri" w:cs="Calibri"/>
                <w:color w:val="000000"/>
                <w:sz w:val="22"/>
                <w:szCs w:val="22"/>
              </w:rPr>
              <w:t> </w:t>
            </w:r>
          </w:p>
        </w:tc>
      </w:tr>
    </w:tbl>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07171">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A902F" w14:textId="77777777" w:rsidR="000D51A5" w:rsidRDefault="000D51A5" w:rsidP="007D7BDE">
      <w:r>
        <w:separator/>
      </w:r>
    </w:p>
  </w:endnote>
  <w:endnote w:type="continuationSeparator" w:id="0">
    <w:p w14:paraId="054C2B19" w14:textId="77777777" w:rsidR="000D51A5" w:rsidRDefault="000D51A5" w:rsidP="007D7BDE">
      <w:r>
        <w:continuationSeparator/>
      </w:r>
    </w:p>
  </w:endnote>
  <w:endnote w:type="continuationNotice" w:id="1">
    <w:p w14:paraId="598358E8" w14:textId="77777777" w:rsidR="000D51A5" w:rsidRDefault="000D51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39E51F56"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C55C0">
      <w:rPr>
        <w:rStyle w:val="PageNumber"/>
        <w:noProof/>
      </w:rPr>
      <w:t>2</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7140E" w14:textId="77777777" w:rsidR="000D51A5" w:rsidRDefault="000D51A5" w:rsidP="007D7BDE">
      <w:r>
        <w:separator/>
      </w:r>
    </w:p>
  </w:footnote>
  <w:footnote w:type="continuationSeparator" w:id="0">
    <w:p w14:paraId="08C08A30" w14:textId="77777777" w:rsidR="000D51A5" w:rsidRDefault="000D51A5" w:rsidP="007D7BDE">
      <w:r>
        <w:continuationSeparator/>
      </w:r>
    </w:p>
  </w:footnote>
  <w:footnote w:type="continuationNotice" w:id="1">
    <w:p w14:paraId="5F89B99A" w14:textId="77777777" w:rsidR="000D51A5" w:rsidRDefault="000D51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0663C9C"/>
    <w:multiLevelType w:val="multilevel"/>
    <w:tmpl w:val="CC0A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 w15:restartNumberingAfterBreak="0">
    <w:nsid w:val="6C55573C"/>
    <w:multiLevelType w:val="multilevel"/>
    <w:tmpl w:val="D6589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6" w15:restartNumberingAfterBreak="0">
    <w:nsid w:val="7D236868"/>
    <w:multiLevelType w:val="multilevel"/>
    <w:tmpl w:val="2696CD3E"/>
    <w:lvl w:ilvl="0">
      <w:start w:val="1"/>
      <w:numFmt w:val="decimal"/>
      <w:suff w:val="nothing"/>
      <w:lvlText w:val="%1."/>
      <w:lvlJc w:val="left"/>
      <w:pPr>
        <w:ind w:left="0" w:firstLine="0"/>
      </w:pPr>
      <w:rPr>
        <w:rFonts w:hint="default"/>
      </w:rPr>
    </w:lvl>
    <w:lvl w:ilvl="1">
      <w:start w:val="1"/>
      <w:numFmt w:val="decimal"/>
      <w:lvlText w:val="%2."/>
      <w:lvlJc w:val="left"/>
      <w:pPr>
        <w:tabs>
          <w:tab w:val="num" w:pos="720"/>
        </w:tabs>
        <w:ind w:left="0" w:firstLine="0"/>
      </w:pPr>
      <w:rPr>
        <w:rFonts w:hint="default"/>
      </w:rPr>
    </w:lvl>
    <w:lvl w:ilvl="2">
      <w:start w:val="1"/>
      <w:numFmt w:val="decimal"/>
      <w:lvlText w:val="%3."/>
      <w:lvlJc w:val="left"/>
      <w:pPr>
        <w:tabs>
          <w:tab w:val="num" w:pos="720"/>
        </w:tabs>
        <w:ind w:left="0" w:firstLine="0"/>
      </w:pPr>
      <w:rPr>
        <w:rFonts w:hint="default"/>
      </w:rPr>
    </w:lvl>
    <w:lvl w:ilvl="3">
      <w:start w:val="1"/>
      <w:numFmt w:val="decimal"/>
      <w:lvlText w:val="%4."/>
      <w:lvlJc w:val="left"/>
      <w:pPr>
        <w:tabs>
          <w:tab w:val="num" w:pos="720"/>
        </w:tabs>
        <w:ind w:left="0" w:firstLine="0"/>
      </w:pPr>
      <w:rPr>
        <w:rFonts w:hint="default"/>
      </w:rPr>
    </w:lvl>
    <w:lvl w:ilvl="4">
      <w:start w:val="1"/>
      <w:numFmt w:val="decimal"/>
      <w:lvlText w:val="%5."/>
      <w:lvlJc w:val="left"/>
      <w:pPr>
        <w:tabs>
          <w:tab w:val="num" w:pos="720"/>
        </w:tabs>
        <w:ind w:left="0" w:firstLine="0"/>
      </w:pPr>
      <w:rPr>
        <w:rFonts w:hint="default"/>
      </w:rPr>
    </w:lvl>
    <w:lvl w:ilvl="5">
      <w:start w:val="1"/>
      <w:numFmt w:val="decimal"/>
      <w:lvlText w:val="%6."/>
      <w:lvlJc w:val="left"/>
      <w:pPr>
        <w:tabs>
          <w:tab w:val="num" w:pos="720"/>
        </w:tabs>
        <w:ind w:left="0" w:firstLine="0"/>
      </w:pPr>
      <w:rPr>
        <w:rFonts w:hint="default"/>
      </w:rPr>
    </w:lvl>
    <w:lvl w:ilvl="6">
      <w:start w:val="1"/>
      <w:numFmt w:val="decimal"/>
      <w:lvlText w:val="%7."/>
      <w:lvlJc w:val="left"/>
      <w:pPr>
        <w:tabs>
          <w:tab w:val="num" w:pos="720"/>
        </w:tabs>
        <w:ind w:left="0" w:firstLine="0"/>
      </w:pPr>
      <w:rPr>
        <w:rFonts w:hint="default"/>
      </w:rPr>
    </w:lvl>
    <w:lvl w:ilvl="7">
      <w:start w:val="1"/>
      <w:numFmt w:val="decimal"/>
      <w:lvlText w:val="%8."/>
      <w:lvlJc w:val="left"/>
      <w:pPr>
        <w:tabs>
          <w:tab w:val="num" w:pos="720"/>
        </w:tabs>
        <w:ind w:left="0" w:firstLine="0"/>
      </w:pPr>
      <w:rPr>
        <w:rFonts w:hint="default"/>
      </w:rPr>
    </w:lvl>
    <w:lvl w:ilvl="8">
      <w:start w:val="1"/>
      <w:numFmt w:val="decimal"/>
      <w:lvlText w:val="%9."/>
      <w:lvlJc w:val="left"/>
      <w:pPr>
        <w:tabs>
          <w:tab w:val="num" w:pos="720"/>
        </w:tabs>
        <w:ind w:left="0" w:firstLine="0"/>
      </w:pPr>
      <w:rPr>
        <w:rFonts w:hint="default"/>
      </w:rPr>
    </w:lvl>
  </w:abstractNum>
  <w:num w:numId="1">
    <w:abstractNumId w:val="2"/>
  </w:num>
  <w:num w:numId="2">
    <w:abstractNumId w:val="0"/>
  </w:num>
  <w:num w:numId="3">
    <w:abstractNumId w:val="5"/>
  </w:num>
  <w:num w:numId="4">
    <w:abstractNumId w:val="3"/>
  </w:num>
  <w:num w:numId="5">
    <w:abstractNumId w:val="1"/>
  </w:num>
  <w:num w:numId="6">
    <w:abstractNumId w:val="6"/>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34702"/>
    <w:rsid w:val="00041973"/>
    <w:rsid w:val="00074575"/>
    <w:rsid w:val="000A35DF"/>
    <w:rsid w:val="000A5E80"/>
    <w:rsid w:val="000B520B"/>
    <w:rsid w:val="000C4E32"/>
    <w:rsid w:val="000D51A5"/>
    <w:rsid w:val="000E59DA"/>
    <w:rsid w:val="00103C02"/>
    <w:rsid w:val="00134C2C"/>
    <w:rsid w:val="00146B64"/>
    <w:rsid w:val="00154D57"/>
    <w:rsid w:val="00161F8F"/>
    <w:rsid w:val="001919F4"/>
    <w:rsid w:val="001C0741"/>
    <w:rsid w:val="001C0F0F"/>
    <w:rsid w:val="001D112C"/>
    <w:rsid w:val="00217C6D"/>
    <w:rsid w:val="002236B8"/>
    <w:rsid w:val="00241E4B"/>
    <w:rsid w:val="00242755"/>
    <w:rsid w:val="00252449"/>
    <w:rsid w:val="00266E86"/>
    <w:rsid w:val="00282D9D"/>
    <w:rsid w:val="002A2BEF"/>
    <w:rsid w:val="002D3E30"/>
    <w:rsid w:val="002E03CE"/>
    <w:rsid w:val="002E12DF"/>
    <w:rsid w:val="002E3F7C"/>
    <w:rsid w:val="003115CC"/>
    <w:rsid w:val="00350BFA"/>
    <w:rsid w:val="0037216D"/>
    <w:rsid w:val="00374C68"/>
    <w:rsid w:val="003A2DFD"/>
    <w:rsid w:val="003C4A6C"/>
    <w:rsid w:val="003C55C0"/>
    <w:rsid w:val="003D3DAA"/>
    <w:rsid w:val="003F2C4E"/>
    <w:rsid w:val="00402707"/>
    <w:rsid w:val="00421B63"/>
    <w:rsid w:val="00434ED1"/>
    <w:rsid w:val="00452734"/>
    <w:rsid w:val="004A017B"/>
    <w:rsid w:val="004D2BA6"/>
    <w:rsid w:val="00506AFA"/>
    <w:rsid w:val="00575014"/>
    <w:rsid w:val="005965CF"/>
    <w:rsid w:val="00596980"/>
    <w:rsid w:val="005B3F36"/>
    <w:rsid w:val="005D3E09"/>
    <w:rsid w:val="005E2F92"/>
    <w:rsid w:val="005E5929"/>
    <w:rsid w:val="00680852"/>
    <w:rsid w:val="00703562"/>
    <w:rsid w:val="00703CB1"/>
    <w:rsid w:val="007244A4"/>
    <w:rsid w:val="0074138C"/>
    <w:rsid w:val="00750A14"/>
    <w:rsid w:val="00756E07"/>
    <w:rsid w:val="00766B20"/>
    <w:rsid w:val="007B0F64"/>
    <w:rsid w:val="007B1661"/>
    <w:rsid w:val="007C435C"/>
    <w:rsid w:val="007D5546"/>
    <w:rsid w:val="007D7BDE"/>
    <w:rsid w:val="00810E69"/>
    <w:rsid w:val="00840733"/>
    <w:rsid w:val="00847D86"/>
    <w:rsid w:val="008572A5"/>
    <w:rsid w:val="00877DFF"/>
    <w:rsid w:val="00886D7A"/>
    <w:rsid w:val="00893D7E"/>
    <w:rsid w:val="008B3FDD"/>
    <w:rsid w:val="008F1BBA"/>
    <w:rsid w:val="009030FD"/>
    <w:rsid w:val="00907171"/>
    <w:rsid w:val="009134CF"/>
    <w:rsid w:val="00952E2F"/>
    <w:rsid w:val="0097445B"/>
    <w:rsid w:val="00975BC0"/>
    <w:rsid w:val="00A15AB7"/>
    <w:rsid w:val="00A81B78"/>
    <w:rsid w:val="00A87B44"/>
    <w:rsid w:val="00AB16F3"/>
    <w:rsid w:val="00AB4A37"/>
    <w:rsid w:val="00AE4CE1"/>
    <w:rsid w:val="00B04B5B"/>
    <w:rsid w:val="00B8459B"/>
    <w:rsid w:val="00BA0183"/>
    <w:rsid w:val="00BE01EF"/>
    <w:rsid w:val="00BF6EDE"/>
    <w:rsid w:val="00C23675"/>
    <w:rsid w:val="00C25209"/>
    <w:rsid w:val="00C734AC"/>
    <w:rsid w:val="00C81DFC"/>
    <w:rsid w:val="00D56063"/>
    <w:rsid w:val="00D57FB3"/>
    <w:rsid w:val="00D711C5"/>
    <w:rsid w:val="00DC7D31"/>
    <w:rsid w:val="00E00478"/>
    <w:rsid w:val="00E1291B"/>
    <w:rsid w:val="00E41A20"/>
    <w:rsid w:val="00E67378"/>
    <w:rsid w:val="00E90FEC"/>
    <w:rsid w:val="00EB7875"/>
    <w:rsid w:val="00EE579E"/>
    <w:rsid w:val="00EF7104"/>
    <w:rsid w:val="00F701C2"/>
    <w:rsid w:val="00F81D3E"/>
    <w:rsid w:val="00F87FFB"/>
    <w:rsid w:val="00FD20D7"/>
    <w:rsid w:val="00FE1AC6"/>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DAA"/>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table" w:styleId="GridTable4-Accent5">
    <w:name w:val="Grid Table 4 Accent 5"/>
    <w:basedOn w:val="TableNormal"/>
    <w:uiPriority w:val="49"/>
    <w:rsid w:val="001919F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487315">
      <w:bodyDiv w:val="1"/>
      <w:marLeft w:val="0"/>
      <w:marRight w:val="0"/>
      <w:marTop w:val="0"/>
      <w:marBottom w:val="0"/>
      <w:divBdr>
        <w:top w:val="none" w:sz="0" w:space="0" w:color="auto"/>
        <w:left w:val="none" w:sz="0" w:space="0" w:color="auto"/>
        <w:bottom w:val="none" w:sz="0" w:space="0" w:color="auto"/>
        <w:right w:val="none" w:sz="0" w:space="0" w:color="auto"/>
      </w:divBdr>
      <w:divsChild>
        <w:div w:id="1502040749">
          <w:marLeft w:val="0"/>
          <w:marRight w:val="0"/>
          <w:marTop w:val="0"/>
          <w:marBottom w:val="0"/>
          <w:divBdr>
            <w:top w:val="none" w:sz="0" w:space="0" w:color="auto"/>
            <w:left w:val="none" w:sz="0" w:space="0" w:color="auto"/>
            <w:bottom w:val="none" w:sz="0" w:space="0" w:color="auto"/>
            <w:right w:val="none" w:sz="0" w:space="0" w:color="auto"/>
          </w:divBdr>
          <w:divsChild>
            <w:div w:id="2097633789">
              <w:marLeft w:val="0"/>
              <w:marRight w:val="0"/>
              <w:marTop w:val="0"/>
              <w:marBottom w:val="0"/>
              <w:divBdr>
                <w:top w:val="none" w:sz="0" w:space="0" w:color="auto"/>
                <w:left w:val="none" w:sz="0" w:space="0" w:color="auto"/>
                <w:bottom w:val="none" w:sz="0" w:space="0" w:color="auto"/>
                <w:right w:val="none" w:sz="0" w:space="0" w:color="auto"/>
              </w:divBdr>
            </w:div>
          </w:divsChild>
        </w:div>
        <w:div w:id="17244437">
          <w:marLeft w:val="0"/>
          <w:marRight w:val="0"/>
          <w:marTop w:val="0"/>
          <w:marBottom w:val="0"/>
          <w:divBdr>
            <w:top w:val="none" w:sz="0" w:space="0" w:color="auto"/>
            <w:left w:val="none" w:sz="0" w:space="0" w:color="auto"/>
            <w:bottom w:val="none" w:sz="0" w:space="0" w:color="auto"/>
            <w:right w:val="none" w:sz="0" w:space="0" w:color="auto"/>
          </w:divBdr>
          <w:divsChild>
            <w:div w:id="1642686801">
              <w:marLeft w:val="0"/>
              <w:marRight w:val="0"/>
              <w:marTop w:val="0"/>
              <w:marBottom w:val="0"/>
              <w:divBdr>
                <w:top w:val="none" w:sz="0" w:space="0" w:color="auto"/>
                <w:left w:val="none" w:sz="0" w:space="0" w:color="auto"/>
                <w:bottom w:val="none" w:sz="0" w:space="0" w:color="auto"/>
                <w:right w:val="none" w:sz="0" w:space="0" w:color="auto"/>
              </w:divBdr>
            </w:div>
          </w:divsChild>
        </w:div>
        <w:div w:id="468284116">
          <w:marLeft w:val="0"/>
          <w:marRight w:val="0"/>
          <w:marTop w:val="0"/>
          <w:marBottom w:val="0"/>
          <w:divBdr>
            <w:top w:val="none" w:sz="0" w:space="0" w:color="auto"/>
            <w:left w:val="none" w:sz="0" w:space="0" w:color="auto"/>
            <w:bottom w:val="none" w:sz="0" w:space="0" w:color="auto"/>
            <w:right w:val="none" w:sz="0" w:space="0" w:color="auto"/>
          </w:divBdr>
          <w:divsChild>
            <w:div w:id="826703094">
              <w:marLeft w:val="0"/>
              <w:marRight w:val="0"/>
              <w:marTop w:val="0"/>
              <w:marBottom w:val="0"/>
              <w:divBdr>
                <w:top w:val="none" w:sz="0" w:space="0" w:color="auto"/>
                <w:left w:val="none" w:sz="0" w:space="0" w:color="auto"/>
                <w:bottom w:val="none" w:sz="0" w:space="0" w:color="auto"/>
                <w:right w:val="none" w:sz="0" w:space="0" w:color="auto"/>
              </w:divBdr>
            </w:div>
          </w:divsChild>
        </w:div>
        <w:div w:id="1587575383">
          <w:marLeft w:val="0"/>
          <w:marRight w:val="0"/>
          <w:marTop w:val="0"/>
          <w:marBottom w:val="0"/>
          <w:divBdr>
            <w:top w:val="none" w:sz="0" w:space="0" w:color="auto"/>
            <w:left w:val="none" w:sz="0" w:space="0" w:color="auto"/>
            <w:bottom w:val="none" w:sz="0" w:space="0" w:color="auto"/>
            <w:right w:val="none" w:sz="0" w:space="0" w:color="auto"/>
          </w:divBdr>
          <w:divsChild>
            <w:div w:id="1361198056">
              <w:marLeft w:val="0"/>
              <w:marRight w:val="0"/>
              <w:marTop w:val="0"/>
              <w:marBottom w:val="0"/>
              <w:divBdr>
                <w:top w:val="none" w:sz="0" w:space="0" w:color="auto"/>
                <w:left w:val="none" w:sz="0" w:space="0" w:color="auto"/>
                <w:bottom w:val="none" w:sz="0" w:space="0" w:color="auto"/>
                <w:right w:val="none" w:sz="0" w:space="0" w:color="auto"/>
              </w:divBdr>
            </w:div>
          </w:divsChild>
        </w:div>
        <w:div w:id="1201429942">
          <w:marLeft w:val="0"/>
          <w:marRight w:val="0"/>
          <w:marTop w:val="0"/>
          <w:marBottom w:val="0"/>
          <w:divBdr>
            <w:top w:val="none" w:sz="0" w:space="0" w:color="auto"/>
            <w:left w:val="none" w:sz="0" w:space="0" w:color="auto"/>
            <w:bottom w:val="none" w:sz="0" w:space="0" w:color="auto"/>
            <w:right w:val="none" w:sz="0" w:space="0" w:color="auto"/>
          </w:divBdr>
          <w:divsChild>
            <w:div w:id="338502837">
              <w:marLeft w:val="0"/>
              <w:marRight w:val="0"/>
              <w:marTop w:val="0"/>
              <w:marBottom w:val="0"/>
              <w:divBdr>
                <w:top w:val="none" w:sz="0" w:space="0" w:color="auto"/>
                <w:left w:val="none" w:sz="0" w:space="0" w:color="auto"/>
                <w:bottom w:val="none" w:sz="0" w:space="0" w:color="auto"/>
                <w:right w:val="none" w:sz="0" w:space="0" w:color="auto"/>
              </w:divBdr>
            </w:div>
          </w:divsChild>
        </w:div>
        <w:div w:id="1156653998">
          <w:marLeft w:val="0"/>
          <w:marRight w:val="0"/>
          <w:marTop w:val="0"/>
          <w:marBottom w:val="0"/>
          <w:divBdr>
            <w:top w:val="none" w:sz="0" w:space="0" w:color="auto"/>
            <w:left w:val="none" w:sz="0" w:space="0" w:color="auto"/>
            <w:bottom w:val="none" w:sz="0" w:space="0" w:color="auto"/>
            <w:right w:val="none" w:sz="0" w:space="0" w:color="auto"/>
          </w:divBdr>
          <w:divsChild>
            <w:div w:id="1020816747">
              <w:marLeft w:val="0"/>
              <w:marRight w:val="0"/>
              <w:marTop w:val="0"/>
              <w:marBottom w:val="0"/>
              <w:divBdr>
                <w:top w:val="none" w:sz="0" w:space="0" w:color="auto"/>
                <w:left w:val="none" w:sz="0" w:space="0" w:color="auto"/>
                <w:bottom w:val="none" w:sz="0" w:space="0" w:color="auto"/>
                <w:right w:val="none" w:sz="0" w:space="0" w:color="auto"/>
              </w:divBdr>
            </w:div>
          </w:divsChild>
        </w:div>
        <w:div w:id="981160008">
          <w:marLeft w:val="0"/>
          <w:marRight w:val="0"/>
          <w:marTop w:val="0"/>
          <w:marBottom w:val="0"/>
          <w:divBdr>
            <w:top w:val="none" w:sz="0" w:space="0" w:color="auto"/>
            <w:left w:val="none" w:sz="0" w:space="0" w:color="auto"/>
            <w:bottom w:val="none" w:sz="0" w:space="0" w:color="auto"/>
            <w:right w:val="none" w:sz="0" w:space="0" w:color="auto"/>
          </w:divBdr>
          <w:divsChild>
            <w:div w:id="1565025629">
              <w:marLeft w:val="0"/>
              <w:marRight w:val="0"/>
              <w:marTop w:val="0"/>
              <w:marBottom w:val="0"/>
              <w:divBdr>
                <w:top w:val="none" w:sz="0" w:space="0" w:color="auto"/>
                <w:left w:val="none" w:sz="0" w:space="0" w:color="auto"/>
                <w:bottom w:val="none" w:sz="0" w:space="0" w:color="auto"/>
                <w:right w:val="none" w:sz="0" w:space="0" w:color="auto"/>
              </w:divBdr>
            </w:div>
          </w:divsChild>
        </w:div>
        <w:div w:id="1980450899">
          <w:marLeft w:val="0"/>
          <w:marRight w:val="0"/>
          <w:marTop w:val="0"/>
          <w:marBottom w:val="0"/>
          <w:divBdr>
            <w:top w:val="none" w:sz="0" w:space="0" w:color="auto"/>
            <w:left w:val="none" w:sz="0" w:space="0" w:color="auto"/>
            <w:bottom w:val="none" w:sz="0" w:space="0" w:color="auto"/>
            <w:right w:val="none" w:sz="0" w:space="0" w:color="auto"/>
          </w:divBdr>
          <w:divsChild>
            <w:div w:id="169099155">
              <w:marLeft w:val="0"/>
              <w:marRight w:val="0"/>
              <w:marTop w:val="0"/>
              <w:marBottom w:val="0"/>
              <w:divBdr>
                <w:top w:val="none" w:sz="0" w:space="0" w:color="auto"/>
                <w:left w:val="none" w:sz="0" w:space="0" w:color="auto"/>
                <w:bottom w:val="none" w:sz="0" w:space="0" w:color="auto"/>
                <w:right w:val="none" w:sz="0" w:space="0" w:color="auto"/>
              </w:divBdr>
            </w:div>
          </w:divsChild>
        </w:div>
        <w:div w:id="2085224869">
          <w:marLeft w:val="0"/>
          <w:marRight w:val="0"/>
          <w:marTop w:val="0"/>
          <w:marBottom w:val="0"/>
          <w:divBdr>
            <w:top w:val="none" w:sz="0" w:space="0" w:color="auto"/>
            <w:left w:val="none" w:sz="0" w:space="0" w:color="auto"/>
            <w:bottom w:val="none" w:sz="0" w:space="0" w:color="auto"/>
            <w:right w:val="none" w:sz="0" w:space="0" w:color="auto"/>
          </w:divBdr>
          <w:divsChild>
            <w:div w:id="654603604">
              <w:marLeft w:val="0"/>
              <w:marRight w:val="0"/>
              <w:marTop w:val="0"/>
              <w:marBottom w:val="0"/>
              <w:divBdr>
                <w:top w:val="none" w:sz="0" w:space="0" w:color="auto"/>
                <w:left w:val="none" w:sz="0" w:space="0" w:color="auto"/>
                <w:bottom w:val="none" w:sz="0" w:space="0" w:color="auto"/>
                <w:right w:val="none" w:sz="0" w:space="0" w:color="auto"/>
              </w:divBdr>
            </w:div>
            <w:div w:id="1000429657">
              <w:marLeft w:val="0"/>
              <w:marRight w:val="0"/>
              <w:marTop w:val="0"/>
              <w:marBottom w:val="0"/>
              <w:divBdr>
                <w:top w:val="none" w:sz="0" w:space="0" w:color="auto"/>
                <w:left w:val="none" w:sz="0" w:space="0" w:color="auto"/>
                <w:bottom w:val="none" w:sz="0" w:space="0" w:color="auto"/>
                <w:right w:val="none" w:sz="0" w:space="0" w:color="auto"/>
              </w:divBdr>
            </w:div>
          </w:divsChild>
        </w:div>
        <w:div w:id="1496067880">
          <w:marLeft w:val="0"/>
          <w:marRight w:val="0"/>
          <w:marTop w:val="0"/>
          <w:marBottom w:val="0"/>
          <w:divBdr>
            <w:top w:val="none" w:sz="0" w:space="0" w:color="auto"/>
            <w:left w:val="none" w:sz="0" w:space="0" w:color="auto"/>
            <w:bottom w:val="none" w:sz="0" w:space="0" w:color="auto"/>
            <w:right w:val="none" w:sz="0" w:space="0" w:color="auto"/>
          </w:divBdr>
          <w:divsChild>
            <w:div w:id="1514765353">
              <w:marLeft w:val="0"/>
              <w:marRight w:val="0"/>
              <w:marTop w:val="0"/>
              <w:marBottom w:val="0"/>
              <w:divBdr>
                <w:top w:val="none" w:sz="0" w:space="0" w:color="auto"/>
                <w:left w:val="none" w:sz="0" w:space="0" w:color="auto"/>
                <w:bottom w:val="none" w:sz="0" w:space="0" w:color="auto"/>
                <w:right w:val="none" w:sz="0" w:space="0" w:color="auto"/>
              </w:divBdr>
            </w:div>
          </w:divsChild>
        </w:div>
        <w:div w:id="930623671">
          <w:marLeft w:val="0"/>
          <w:marRight w:val="0"/>
          <w:marTop w:val="0"/>
          <w:marBottom w:val="0"/>
          <w:divBdr>
            <w:top w:val="none" w:sz="0" w:space="0" w:color="auto"/>
            <w:left w:val="none" w:sz="0" w:space="0" w:color="auto"/>
            <w:bottom w:val="none" w:sz="0" w:space="0" w:color="auto"/>
            <w:right w:val="none" w:sz="0" w:space="0" w:color="auto"/>
          </w:divBdr>
          <w:divsChild>
            <w:div w:id="350843726">
              <w:marLeft w:val="0"/>
              <w:marRight w:val="0"/>
              <w:marTop w:val="0"/>
              <w:marBottom w:val="0"/>
              <w:divBdr>
                <w:top w:val="none" w:sz="0" w:space="0" w:color="auto"/>
                <w:left w:val="none" w:sz="0" w:space="0" w:color="auto"/>
                <w:bottom w:val="none" w:sz="0" w:space="0" w:color="auto"/>
                <w:right w:val="none" w:sz="0" w:space="0" w:color="auto"/>
              </w:divBdr>
            </w:div>
            <w:div w:id="403340084">
              <w:marLeft w:val="0"/>
              <w:marRight w:val="0"/>
              <w:marTop w:val="0"/>
              <w:marBottom w:val="0"/>
              <w:divBdr>
                <w:top w:val="none" w:sz="0" w:space="0" w:color="auto"/>
                <w:left w:val="none" w:sz="0" w:space="0" w:color="auto"/>
                <w:bottom w:val="none" w:sz="0" w:space="0" w:color="auto"/>
                <w:right w:val="none" w:sz="0" w:space="0" w:color="auto"/>
              </w:divBdr>
            </w:div>
          </w:divsChild>
        </w:div>
        <w:div w:id="450902556">
          <w:marLeft w:val="0"/>
          <w:marRight w:val="0"/>
          <w:marTop w:val="0"/>
          <w:marBottom w:val="0"/>
          <w:divBdr>
            <w:top w:val="none" w:sz="0" w:space="0" w:color="auto"/>
            <w:left w:val="none" w:sz="0" w:space="0" w:color="auto"/>
            <w:bottom w:val="none" w:sz="0" w:space="0" w:color="auto"/>
            <w:right w:val="none" w:sz="0" w:space="0" w:color="auto"/>
          </w:divBdr>
          <w:divsChild>
            <w:div w:id="30348196">
              <w:marLeft w:val="0"/>
              <w:marRight w:val="0"/>
              <w:marTop w:val="0"/>
              <w:marBottom w:val="0"/>
              <w:divBdr>
                <w:top w:val="none" w:sz="0" w:space="0" w:color="auto"/>
                <w:left w:val="none" w:sz="0" w:space="0" w:color="auto"/>
                <w:bottom w:val="none" w:sz="0" w:space="0" w:color="auto"/>
                <w:right w:val="none" w:sz="0" w:space="0" w:color="auto"/>
              </w:divBdr>
            </w:div>
          </w:divsChild>
        </w:div>
        <w:div w:id="1713191469">
          <w:marLeft w:val="0"/>
          <w:marRight w:val="0"/>
          <w:marTop w:val="0"/>
          <w:marBottom w:val="0"/>
          <w:divBdr>
            <w:top w:val="none" w:sz="0" w:space="0" w:color="auto"/>
            <w:left w:val="none" w:sz="0" w:space="0" w:color="auto"/>
            <w:bottom w:val="none" w:sz="0" w:space="0" w:color="auto"/>
            <w:right w:val="none" w:sz="0" w:space="0" w:color="auto"/>
          </w:divBdr>
          <w:divsChild>
            <w:div w:id="1482037643">
              <w:marLeft w:val="0"/>
              <w:marRight w:val="0"/>
              <w:marTop w:val="0"/>
              <w:marBottom w:val="0"/>
              <w:divBdr>
                <w:top w:val="none" w:sz="0" w:space="0" w:color="auto"/>
                <w:left w:val="none" w:sz="0" w:space="0" w:color="auto"/>
                <w:bottom w:val="none" w:sz="0" w:space="0" w:color="auto"/>
                <w:right w:val="none" w:sz="0" w:space="0" w:color="auto"/>
              </w:divBdr>
            </w:div>
          </w:divsChild>
        </w:div>
        <w:div w:id="795484606">
          <w:marLeft w:val="0"/>
          <w:marRight w:val="0"/>
          <w:marTop w:val="0"/>
          <w:marBottom w:val="0"/>
          <w:divBdr>
            <w:top w:val="none" w:sz="0" w:space="0" w:color="auto"/>
            <w:left w:val="none" w:sz="0" w:space="0" w:color="auto"/>
            <w:bottom w:val="none" w:sz="0" w:space="0" w:color="auto"/>
            <w:right w:val="none" w:sz="0" w:space="0" w:color="auto"/>
          </w:divBdr>
          <w:divsChild>
            <w:div w:id="1992515882">
              <w:marLeft w:val="0"/>
              <w:marRight w:val="0"/>
              <w:marTop w:val="0"/>
              <w:marBottom w:val="0"/>
              <w:divBdr>
                <w:top w:val="none" w:sz="0" w:space="0" w:color="auto"/>
                <w:left w:val="none" w:sz="0" w:space="0" w:color="auto"/>
                <w:bottom w:val="none" w:sz="0" w:space="0" w:color="auto"/>
                <w:right w:val="none" w:sz="0" w:space="0" w:color="auto"/>
              </w:divBdr>
            </w:div>
          </w:divsChild>
        </w:div>
        <w:div w:id="1343362287">
          <w:marLeft w:val="0"/>
          <w:marRight w:val="0"/>
          <w:marTop w:val="0"/>
          <w:marBottom w:val="0"/>
          <w:divBdr>
            <w:top w:val="none" w:sz="0" w:space="0" w:color="auto"/>
            <w:left w:val="none" w:sz="0" w:space="0" w:color="auto"/>
            <w:bottom w:val="none" w:sz="0" w:space="0" w:color="auto"/>
            <w:right w:val="none" w:sz="0" w:space="0" w:color="auto"/>
          </w:divBdr>
          <w:divsChild>
            <w:div w:id="1025516245">
              <w:marLeft w:val="0"/>
              <w:marRight w:val="0"/>
              <w:marTop w:val="0"/>
              <w:marBottom w:val="0"/>
              <w:divBdr>
                <w:top w:val="none" w:sz="0" w:space="0" w:color="auto"/>
                <w:left w:val="none" w:sz="0" w:space="0" w:color="auto"/>
                <w:bottom w:val="none" w:sz="0" w:space="0" w:color="auto"/>
                <w:right w:val="none" w:sz="0" w:space="0" w:color="auto"/>
              </w:divBdr>
            </w:div>
          </w:divsChild>
        </w:div>
        <w:div w:id="106043398">
          <w:marLeft w:val="0"/>
          <w:marRight w:val="0"/>
          <w:marTop w:val="0"/>
          <w:marBottom w:val="0"/>
          <w:divBdr>
            <w:top w:val="none" w:sz="0" w:space="0" w:color="auto"/>
            <w:left w:val="none" w:sz="0" w:space="0" w:color="auto"/>
            <w:bottom w:val="none" w:sz="0" w:space="0" w:color="auto"/>
            <w:right w:val="none" w:sz="0" w:space="0" w:color="auto"/>
          </w:divBdr>
          <w:divsChild>
            <w:div w:id="861937398">
              <w:marLeft w:val="0"/>
              <w:marRight w:val="0"/>
              <w:marTop w:val="0"/>
              <w:marBottom w:val="0"/>
              <w:divBdr>
                <w:top w:val="none" w:sz="0" w:space="0" w:color="auto"/>
                <w:left w:val="none" w:sz="0" w:space="0" w:color="auto"/>
                <w:bottom w:val="none" w:sz="0" w:space="0" w:color="auto"/>
                <w:right w:val="none" w:sz="0" w:space="0" w:color="auto"/>
              </w:divBdr>
            </w:div>
            <w:div w:id="1712535312">
              <w:marLeft w:val="0"/>
              <w:marRight w:val="0"/>
              <w:marTop w:val="0"/>
              <w:marBottom w:val="0"/>
              <w:divBdr>
                <w:top w:val="none" w:sz="0" w:space="0" w:color="auto"/>
                <w:left w:val="none" w:sz="0" w:space="0" w:color="auto"/>
                <w:bottom w:val="none" w:sz="0" w:space="0" w:color="auto"/>
                <w:right w:val="none" w:sz="0" w:space="0" w:color="auto"/>
              </w:divBdr>
            </w:div>
          </w:divsChild>
        </w:div>
        <w:div w:id="538663399">
          <w:marLeft w:val="0"/>
          <w:marRight w:val="0"/>
          <w:marTop w:val="0"/>
          <w:marBottom w:val="0"/>
          <w:divBdr>
            <w:top w:val="none" w:sz="0" w:space="0" w:color="auto"/>
            <w:left w:val="none" w:sz="0" w:space="0" w:color="auto"/>
            <w:bottom w:val="none" w:sz="0" w:space="0" w:color="auto"/>
            <w:right w:val="none" w:sz="0" w:space="0" w:color="auto"/>
          </w:divBdr>
          <w:divsChild>
            <w:div w:id="728579631">
              <w:marLeft w:val="0"/>
              <w:marRight w:val="0"/>
              <w:marTop w:val="0"/>
              <w:marBottom w:val="0"/>
              <w:divBdr>
                <w:top w:val="none" w:sz="0" w:space="0" w:color="auto"/>
                <w:left w:val="none" w:sz="0" w:space="0" w:color="auto"/>
                <w:bottom w:val="none" w:sz="0" w:space="0" w:color="auto"/>
                <w:right w:val="none" w:sz="0" w:space="0" w:color="auto"/>
              </w:divBdr>
            </w:div>
          </w:divsChild>
        </w:div>
        <w:div w:id="422576338">
          <w:marLeft w:val="0"/>
          <w:marRight w:val="0"/>
          <w:marTop w:val="0"/>
          <w:marBottom w:val="0"/>
          <w:divBdr>
            <w:top w:val="none" w:sz="0" w:space="0" w:color="auto"/>
            <w:left w:val="none" w:sz="0" w:space="0" w:color="auto"/>
            <w:bottom w:val="none" w:sz="0" w:space="0" w:color="auto"/>
            <w:right w:val="none" w:sz="0" w:space="0" w:color="auto"/>
          </w:divBdr>
          <w:divsChild>
            <w:div w:id="165944299">
              <w:marLeft w:val="0"/>
              <w:marRight w:val="0"/>
              <w:marTop w:val="0"/>
              <w:marBottom w:val="0"/>
              <w:divBdr>
                <w:top w:val="none" w:sz="0" w:space="0" w:color="auto"/>
                <w:left w:val="none" w:sz="0" w:space="0" w:color="auto"/>
                <w:bottom w:val="none" w:sz="0" w:space="0" w:color="auto"/>
                <w:right w:val="none" w:sz="0" w:space="0" w:color="auto"/>
              </w:divBdr>
            </w:div>
          </w:divsChild>
        </w:div>
        <w:div w:id="841166921">
          <w:marLeft w:val="0"/>
          <w:marRight w:val="0"/>
          <w:marTop w:val="0"/>
          <w:marBottom w:val="0"/>
          <w:divBdr>
            <w:top w:val="none" w:sz="0" w:space="0" w:color="auto"/>
            <w:left w:val="none" w:sz="0" w:space="0" w:color="auto"/>
            <w:bottom w:val="none" w:sz="0" w:space="0" w:color="auto"/>
            <w:right w:val="none" w:sz="0" w:space="0" w:color="auto"/>
          </w:divBdr>
          <w:divsChild>
            <w:div w:id="2054428681">
              <w:marLeft w:val="0"/>
              <w:marRight w:val="0"/>
              <w:marTop w:val="0"/>
              <w:marBottom w:val="0"/>
              <w:divBdr>
                <w:top w:val="none" w:sz="0" w:space="0" w:color="auto"/>
                <w:left w:val="none" w:sz="0" w:space="0" w:color="auto"/>
                <w:bottom w:val="none" w:sz="0" w:space="0" w:color="auto"/>
                <w:right w:val="none" w:sz="0" w:space="0" w:color="auto"/>
              </w:divBdr>
            </w:div>
          </w:divsChild>
        </w:div>
        <w:div w:id="594094613">
          <w:marLeft w:val="0"/>
          <w:marRight w:val="0"/>
          <w:marTop w:val="0"/>
          <w:marBottom w:val="0"/>
          <w:divBdr>
            <w:top w:val="none" w:sz="0" w:space="0" w:color="auto"/>
            <w:left w:val="none" w:sz="0" w:space="0" w:color="auto"/>
            <w:bottom w:val="none" w:sz="0" w:space="0" w:color="auto"/>
            <w:right w:val="none" w:sz="0" w:space="0" w:color="auto"/>
          </w:divBdr>
          <w:divsChild>
            <w:div w:id="656306118">
              <w:marLeft w:val="0"/>
              <w:marRight w:val="0"/>
              <w:marTop w:val="0"/>
              <w:marBottom w:val="0"/>
              <w:divBdr>
                <w:top w:val="none" w:sz="0" w:space="0" w:color="auto"/>
                <w:left w:val="none" w:sz="0" w:space="0" w:color="auto"/>
                <w:bottom w:val="none" w:sz="0" w:space="0" w:color="auto"/>
                <w:right w:val="none" w:sz="0" w:space="0" w:color="auto"/>
              </w:divBdr>
            </w:div>
          </w:divsChild>
        </w:div>
        <w:div w:id="1380516676">
          <w:marLeft w:val="0"/>
          <w:marRight w:val="0"/>
          <w:marTop w:val="0"/>
          <w:marBottom w:val="0"/>
          <w:divBdr>
            <w:top w:val="none" w:sz="0" w:space="0" w:color="auto"/>
            <w:left w:val="none" w:sz="0" w:space="0" w:color="auto"/>
            <w:bottom w:val="none" w:sz="0" w:space="0" w:color="auto"/>
            <w:right w:val="none" w:sz="0" w:space="0" w:color="auto"/>
          </w:divBdr>
          <w:divsChild>
            <w:div w:id="1906530395">
              <w:marLeft w:val="0"/>
              <w:marRight w:val="0"/>
              <w:marTop w:val="0"/>
              <w:marBottom w:val="0"/>
              <w:divBdr>
                <w:top w:val="none" w:sz="0" w:space="0" w:color="auto"/>
                <w:left w:val="none" w:sz="0" w:space="0" w:color="auto"/>
                <w:bottom w:val="none" w:sz="0" w:space="0" w:color="auto"/>
                <w:right w:val="none" w:sz="0" w:space="0" w:color="auto"/>
              </w:divBdr>
            </w:div>
            <w:div w:id="899438150">
              <w:marLeft w:val="0"/>
              <w:marRight w:val="0"/>
              <w:marTop w:val="0"/>
              <w:marBottom w:val="0"/>
              <w:divBdr>
                <w:top w:val="none" w:sz="0" w:space="0" w:color="auto"/>
                <w:left w:val="none" w:sz="0" w:space="0" w:color="auto"/>
                <w:bottom w:val="none" w:sz="0" w:space="0" w:color="auto"/>
                <w:right w:val="none" w:sz="0" w:space="0" w:color="auto"/>
              </w:divBdr>
            </w:div>
          </w:divsChild>
        </w:div>
        <w:div w:id="464858238">
          <w:marLeft w:val="0"/>
          <w:marRight w:val="0"/>
          <w:marTop w:val="0"/>
          <w:marBottom w:val="0"/>
          <w:divBdr>
            <w:top w:val="none" w:sz="0" w:space="0" w:color="auto"/>
            <w:left w:val="none" w:sz="0" w:space="0" w:color="auto"/>
            <w:bottom w:val="none" w:sz="0" w:space="0" w:color="auto"/>
            <w:right w:val="none" w:sz="0" w:space="0" w:color="auto"/>
          </w:divBdr>
          <w:divsChild>
            <w:div w:id="1351689112">
              <w:marLeft w:val="0"/>
              <w:marRight w:val="0"/>
              <w:marTop w:val="0"/>
              <w:marBottom w:val="0"/>
              <w:divBdr>
                <w:top w:val="none" w:sz="0" w:space="0" w:color="auto"/>
                <w:left w:val="none" w:sz="0" w:space="0" w:color="auto"/>
                <w:bottom w:val="none" w:sz="0" w:space="0" w:color="auto"/>
                <w:right w:val="none" w:sz="0" w:space="0" w:color="auto"/>
              </w:divBdr>
            </w:div>
          </w:divsChild>
        </w:div>
        <w:div w:id="246623083">
          <w:marLeft w:val="0"/>
          <w:marRight w:val="0"/>
          <w:marTop w:val="0"/>
          <w:marBottom w:val="0"/>
          <w:divBdr>
            <w:top w:val="none" w:sz="0" w:space="0" w:color="auto"/>
            <w:left w:val="none" w:sz="0" w:space="0" w:color="auto"/>
            <w:bottom w:val="none" w:sz="0" w:space="0" w:color="auto"/>
            <w:right w:val="none" w:sz="0" w:space="0" w:color="auto"/>
          </w:divBdr>
          <w:divsChild>
            <w:div w:id="1644891364">
              <w:marLeft w:val="0"/>
              <w:marRight w:val="0"/>
              <w:marTop w:val="0"/>
              <w:marBottom w:val="0"/>
              <w:divBdr>
                <w:top w:val="none" w:sz="0" w:space="0" w:color="auto"/>
                <w:left w:val="none" w:sz="0" w:space="0" w:color="auto"/>
                <w:bottom w:val="none" w:sz="0" w:space="0" w:color="auto"/>
                <w:right w:val="none" w:sz="0" w:space="0" w:color="auto"/>
              </w:divBdr>
            </w:div>
          </w:divsChild>
        </w:div>
        <w:div w:id="1356926691">
          <w:marLeft w:val="0"/>
          <w:marRight w:val="0"/>
          <w:marTop w:val="0"/>
          <w:marBottom w:val="0"/>
          <w:divBdr>
            <w:top w:val="none" w:sz="0" w:space="0" w:color="auto"/>
            <w:left w:val="none" w:sz="0" w:space="0" w:color="auto"/>
            <w:bottom w:val="none" w:sz="0" w:space="0" w:color="auto"/>
            <w:right w:val="none" w:sz="0" w:space="0" w:color="auto"/>
          </w:divBdr>
          <w:divsChild>
            <w:div w:id="7076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ebstore.iec.ch/preview/info_iec62368-1%7Bed3.0.RLV%7Den.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ebstore.iec.ch/preview/info_iec62368-3%7Bed1.0%7Db.pdf" TargetMode="Externa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ebstore.iec.ch/preview/info_iectr62368-2%7Bed3.0.RLV%7D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9a153e-df99-418e-b9c6-e3386b6d8efc">
      <UserInfo>
        <DisplayName/>
        <AccountId xsi:nil="true"/>
        <AccountType/>
      </UserInfo>
    </SharedWithUsers>
  </documentManagement>
</p:properties>
</file>

<file path=customXml/itemProps1.xml><?xml version="1.0" encoding="utf-8"?>
<ds:datastoreItem xmlns:ds="http://schemas.openxmlformats.org/officeDocument/2006/customXml" ds:itemID="{00D03AA3-2124-471F-AF47-7C5829496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3.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2b9a153e-df99-418e-b9c6-e3386b6d8efc"/>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41</cp:revision>
  <cp:lastPrinted>2022-03-14T08:39:00Z</cp:lastPrinted>
  <dcterms:created xsi:type="dcterms:W3CDTF">2022-03-14T07:49:00Z</dcterms:created>
  <dcterms:modified xsi:type="dcterms:W3CDTF">2022-03-14T08:40:00Z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