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56380" w14:textId="77777777" w:rsidR="00BF3018" w:rsidRDefault="00AD196F" w:rsidP="00BF3018">
      <w:pPr>
        <w:autoSpaceDE w:val="0"/>
        <w:autoSpaceDN w:val="0"/>
        <w:adjustRightInd w:val="0"/>
        <w:jc w:val="right"/>
        <w:rPr>
          <w:rFonts w:ascii="Arial" w:hAnsi="Arial" w:cs="Arial"/>
          <w:b/>
          <w:bCs/>
          <w:color w:val="000000"/>
          <w:sz w:val="20"/>
          <w:szCs w:val="20"/>
        </w:rPr>
      </w:pPr>
      <w:r w:rsidRPr="00AC61D9">
        <w:rPr>
          <w:rFonts w:ascii="Arial Narrow" w:hAnsi="Arial Narrow" w:cs="Arial"/>
          <w:b/>
        </w:rPr>
        <w:t>CPR183/F17</w:t>
      </w:r>
    </w:p>
    <w:p w14:paraId="3F371239" w14:textId="77777777"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14:paraId="3EC2DDC3" w14:textId="77777777" w:rsidR="00AB181B" w:rsidRDefault="00AB181B" w:rsidP="00AB181B">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AB181B" w:rsidRPr="00E70218" w14:paraId="24F716EB" w14:textId="77777777" w:rsidTr="00897642">
        <w:tc>
          <w:tcPr>
            <w:tcW w:w="2178" w:type="dxa"/>
            <w:tcBorders>
              <w:top w:val="single" w:sz="4" w:space="0" w:color="auto"/>
              <w:left w:val="single" w:sz="4" w:space="0" w:color="auto"/>
              <w:bottom w:val="single" w:sz="4" w:space="0" w:color="auto"/>
              <w:right w:val="single" w:sz="4" w:space="0" w:color="auto"/>
            </w:tcBorders>
          </w:tcPr>
          <w:p w14:paraId="54C25F80" w14:textId="77777777"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FD68D4A" w14:textId="77777777" w:rsidR="00AB181B" w:rsidRPr="00E70218" w:rsidRDefault="00AB181B" w:rsidP="00897642">
            <w:pPr>
              <w:autoSpaceDE w:val="0"/>
              <w:autoSpaceDN w:val="0"/>
              <w:adjustRightInd w:val="0"/>
              <w:rPr>
                <w:rFonts w:ascii="Arial" w:hAnsi="Arial" w:cs="Arial"/>
                <w:sz w:val="20"/>
                <w:szCs w:val="20"/>
              </w:rPr>
            </w:pPr>
            <w:r>
              <w:rPr>
                <w:rFonts w:ascii="Arial" w:hAnsi="Arial" w:cs="Arial"/>
                <w:b/>
                <w:bCs/>
                <w:sz w:val="20"/>
                <w:szCs w:val="20"/>
              </w:rPr>
              <w:t>Confirmation</w:t>
            </w:r>
            <w:r w:rsidRPr="00E70218">
              <w:rPr>
                <w:rFonts w:ascii="Arial" w:hAnsi="Arial" w:cs="Arial"/>
                <w:b/>
                <w:bCs/>
                <w:sz w:val="20"/>
                <w:szCs w:val="20"/>
              </w:rPr>
              <w:t xml:space="preserve"> proposal</w:t>
            </w:r>
          </w:p>
        </w:tc>
      </w:tr>
      <w:tr w:rsidR="00AB181B" w:rsidRPr="00E70218" w14:paraId="2BD3A431" w14:textId="77777777" w:rsidTr="00897642">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3636F057" w14:textId="77777777"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74AF1192" w14:textId="77777777"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7B41F151" w14:textId="77777777"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AB181B" w:rsidRPr="00E70218" w14:paraId="47D8F22A" w14:textId="77777777" w:rsidTr="00897642">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714EB7B3" w14:textId="77777777" w:rsidR="00AB181B" w:rsidRPr="00E70218" w:rsidRDefault="00AB181B" w:rsidP="0089764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73EA4E4D" w14:textId="77777777" w:rsidR="00AB181B" w:rsidRPr="00E70218" w:rsidRDefault="006D4185" w:rsidP="006D4185">
            <w:pPr>
              <w:tabs>
                <w:tab w:val="center" w:pos="4320"/>
                <w:tab w:val="right" w:pos="8640"/>
              </w:tabs>
              <w:rPr>
                <w:rFonts w:ascii="Arial" w:hAnsi="Arial" w:cs="Arial"/>
                <w:sz w:val="20"/>
                <w:szCs w:val="20"/>
              </w:rPr>
            </w:pPr>
            <w:r>
              <w:rPr>
                <w:rFonts w:ascii="Arial" w:hAnsi="Arial" w:cs="Arial"/>
                <w:sz w:val="20"/>
                <w:szCs w:val="20"/>
              </w:rPr>
              <w:t>2021-02</w:t>
            </w:r>
            <w:r w:rsidR="00B44C09">
              <w:rPr>
                <w:rFonts w:ascii="Arial" w:hAnsi="Arial" w:cs="Arial"/>
                <w:sz w:val="20"/>
                <w:szCs w:val="20"/>
              </w:rPr>
              <w:t>-</w:t>
            </w:r>
            <w:r w:rsidR="004E5D3D">
              <w:rPr>
                <w:rFonts w:ascii="Arial" w:hAnsi="Arial" w:cs="Arial"/>
                <w:sz w:val="20"/>
                <w:szCs w:val="20"/>
              </w:rPr>
              <w:t>24</w:t>
            </w:r>
          </w:p>
        </w:tc>
        <w:tc>
          <w:tcPr>
            <w:tcW w:w="2970" w:type="dxa"/>
            <w:tcBorders>
              <w:top w:val="single" w:sz="4" w:space="0" w:color="auto"/>
              <w:left w:val="single" w:sz="4" w:space="0" w:color="auto"/>
              <w:bottom w:val="single" w:sz="4" w:space="0" w:color="auto"/>
              <w:right w:val="single" w:sz="4" w:space="0" w:color="auto"/>
            </w:tcBorders>
          </w:tcPr>
          <w:p w14:paraId="7ECADEF9" w14:textId="77777777" w:rsidR="00AB181B" w:rsidRPr="00E70218" w:rsidRDefault="00B44C09" w:rsidP="006D4185">
            <w:pPr>
              <w:tabs>
                <w:tab w:val="center" w:pos="4320"/>
                <w:tab w:val="right" w:pos="8640"/>
              </w:tabs>
              <w:rPr>
                <w:rFonts w:ascii="Arial" w:hAnsi="Arial" w:cs="Arial"/>
                <w:sz w:val="20"/>
                <w:szCs w:val="20"/>
              </w:rPr>
            </w:pPr>
            <w:r>
              <w:rPr>
                <w:rFonts w:ascii="Arial" w:hAnsi="Arial" w:cs="Arial"/>
                <w:sz w:val="20"/>
                <w:szCs w:val="20"/>
              </w:rPr>
              <w:t>2</w:t>
            </w:r>
            <w:r w:rsidR="006D4185">
              <w:rPr>
                <w:rFonts w:ascii="Arial" w:hAnsi="Arial" w:cs="Arial"/>
                <w:sz w:val="20"/>
                <w:szCs w:val="20"/>
              </w:rPr>
              <w:t>021-03</w:t>
            </w:r>
            <w:r>
              <w:rPr>
                <w:rFonts w:ascii="Arial" w:hAnsi="Arial" w:cs="Arial"/>
                <w:sz w:val="20"/>
                <w:szCs w:val="20"/>
              </w:rPr>
              <w:t>-</w:t>
            </w:r>
            <w:r w:rsidR="004E5D3D">
              <w:rPr>
                <w:rFonts w:ascii="Arial" w:hAnsi="Arial" w:cs="Arial"/>
                <w:sz w:val="20"/>
                <w:szCs w:val="20"/>
              </w:rPr>
              <w:t>2</w:t>
            </w:r>
            <w:r w:rsidR="006D4185">
              <w:rPr>
                <w:rFonts w:ascii="Arial" w:hAnsi="Arial" w:cs="Arial"/>
                <w:sz w:val="20"/>
                <w:szCs w:val="20"/>
              </w:rPr>
              <w:t>5</w:t>
            </w:r>
          </w:p>
        </w:tc>
      </w:tr>
      <w:tr w:rsidR="00AB181B" w:rsidRPr="00E70218" w14:paraId="1FCCB2A1" w14:textId="77777777" w:rsidTr="00897642">
        <w:tc>
          <w:tcPr>
            <w:tcW w:w="2178" w:type="dxa"/>
            <w:tcBorders>
              <w:top w:val="single" w:sz="4" w:space="0" w:color="auto"/>
              <w:left w:val="single" w:sz="4" w:space="0" w:color="auto"/>
              <w:bottom w:val="single" w:sz="4" w:space="0" w:color="auto"/>
              <w:right w:val="single" w:sz="4" w:space="0" w:color="auto"/>
            </w:tcBorders>
          </w:tcPr>
          <w:p w14:paraId="68CF0AE6" w14:textId="77777777"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69E20AFE" w14:textId="77777777" w:rsidR="00AB181B" w:rsidRPr="00E70218" w:rsidRDefault="00AB181B" w:rsidP="00B44C09">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B44C09">
              <w:rPr>
                <w:rFonts w:ascii="Arial" w:hAnsi="Arial" w:cs="Arial"/>
                <w:b/>
                <w:bCs/>
                <w:sz w:val="20"/>
                <w:szCs w:val="20"/>
              </w:rPr>
              <w:t>Zacheus Mwatha (zimwatha@kebs.org)</w:t>
            </w:r>
          </w:p>
        </w:tc>
      </w:tr>
    </w:tbl>
    <w:p w14:paraId="0AED83BD" w14:textId="77777777" w:rsidR="00AB181B" w:rsidRDefault="00AB181B" w:rsidP="00AB181B">
      <w:pPr>
        <w:autoSpaceDE w:val="0"/>
        <w:autoSpaceDN w:val="0"/>
        <w:adjustRightInd w:val="0"/>
        <w:rPr>
          <w:rFonts w:ascii="Arial" w:hAnsi="Arial" w:cs="Arial"/>
          <w:sz w:val="20"/>
          <w:szCs w:val="20"/>
        </w:rPr>
      </w:pPr>
    </w:p>
    <w:p w14:paraId="54E39471" w14:textId="77777777" w:rsidR="00065F73" w:rsidRPr="00065F73" w:rsidRDefault="00065F73" w:rsidP="00065F73">
      <w:pPr>
        <w:autoSpaceDE w:val="0"/>
        <w:autoSpaceDN w:val="0"/>
        <w:adjustRightInd w:val="0"/>
        <w:rPr>
          <w:rFonts w:ascii="Arial" w:hAnsi="Arial" w:cs="Arial"/>
          <w:sz w:val="20"/>
          <w:szCs w:val="20"/>
        </w:rPr>
      </w:pPr>
      <w:r w:rsidRPr="00065F73">
        <w:rPr>
          <w:rFonts w:ascii="Arial" w:hAnsi="Arial" w:cs="Arial"/>
          <w:sz w:val="20"/>
          <w:szCs w:val="20"/>
        </w:rPr>
        <w:t>The Kenya Bureau of Standards is in the process of reviewing the Kenya Standard(s) as detailed in the attached list of Kenya Standard(s) for Systematic Review.</w:t>
      </w:r>
    </w:p>
    <w:p w14:paraId="39C2A864" w14:textId="77777777"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14:paraId="7BC2C909" w14:textId="77777777" w:rsidR="00065F73" w:rsidRPr="00065F73" w:rsidRDefault="00065F73" w:rsidP="00065F73">
      <w:pPr>
        <w:autoSpaceDE w:val="0"/>
        <w:autoSpaceDN w:val="0"/>
        <w:adjustRightInd w:val="0"/>
        <w:rPr>
          <w:rFonts w:ascii="Arial" w:hAnsi="Arial" w:cs="Arial"/>
          <w:sz w:val="20"/>
          <w:szCs w:val="20"/>
        </w:rPr>
      </w:pPr>
      <w:r w:rsidRPr="00065F73">
        <w:rPr>
          <w:rFonts w:ascii="Arial" w:hAnsi="Arial" w:cs="Arial"/>
          <w:sz w:val="20"/>
          <w:szCs w:val="20"/>
        </w:rPr>
        <w:t>The Standard(s) are available at the Kenya Bureau of Standards Information Centre.  Please tick (mark) and fill your preference of the listed option.  (If the spaces provided are not enough, please attach a separate sheet of paper).</w:t>
      </w:r>
    </w:p>
    <w:p w14:paraId="7AA74DC2" w14:textId="77777777" w:rsidR="00AB181B" w:rsidRDefault="00AB181B" w:rsidP="00AB181B">
      <w:pPr>
        <w:autoSpaceDE w:val="0"/>
        <w:autoSpaceDN w:val="0"/>
        <w:adjustRightInd w:val="0"/>
        <w:rPr>
          <w:rFonts w:ascii="Arial" w:hAnsi="Arial" w:cs="Arial"/>
          <w:sz w:val="20"/>
          <w:szCs w:val="20"/>
        </w:rPr>
      </w:pPr>
    </w:p>
    <w:p w14:paraId="7F5F1677" w14:textId="77777777" w:rsidR="002501B2" w:rsidRDefault="00AB181B" w:rsidP="0017389A">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sidR="006D4185">
        <w:rPr>
          <w:rFonts w:ascii="Arial" w:hAnsi="Arial" w:cs="Arial"/>
          <w:bCs/>
          <w:sz w:val="20"/>
          <w:szCs w:val="20"/>
        </w:rPr>
        <w:t>shall be deemed to be a</w:t>
      </w:r>
      <w:r w:rsidRPr="00DC08CA">
        <w:rPr>
          <w:rFonts w:ascii="Arial" w:hAnsi="Arial" w:cs="Arial"/>
          <w:bCs/>
          <w:sz w:val="20"/>
          <w:szCs w:val="20"/>
        </w:rPr>
        <w:t xml:space="preserv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14:paraId="7DEDD155" w14:textId="77777777" w:rsidR="00065F73" w:rsidRDefault="00065F73" w:rsidP="0017389A">
      <w:pPr>
        <w:tabs>
          <w:tab w:val="right" w:leader="dot" w:pos="3600"/>
        </w:tabs>
        <w:autoSpaceDE w:val="0"/>
        <w:autoSpaceDN w:val="0"/>
        <w:adjustRightInd w:val="0"/>
        <w:rPr>
          <w:rFonts w:ascii="Arial" w:hAnsi="Arial" w:cs="Arial"/>
          <w:bCs/>
          <w:sz w:val="20"/>
          <w:szCs w:val="20"/>
        </w:rPr>
      </w:pPr>
    </w:p>
    <w:p w14:paraId="27849EB2" w14:textId="77777777" w:rsidR="00B44C09" w:rsidRDefault="00B44C09" w:rsidP="0017389A">
      <w:pPr>
        <w:tabs>
          <w:tab w:val="right" w:leader="dot" w:pos="3600"/>
        </w:tabs>
        <w:autoSpaceDE w:val="0"/>
        <w:autoSpaceDN w:val="0"/>
        <w:adjustRightInd w:val="0"/>
        <w:rPr>
          <w:rFonts w:ascii="Arial" w:hAnsi="Arial" w:cs="Arial"/>
          <w:bCs/>
          <w:sz w:val="20"/>
          <w:szCs w:val="20"/>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16"/>
        <w:gridCol w:w="1979"/>
        <w:gridCol w:w="6324"/>
      </w:tblGrid>
      <w:tr w:rsidR="00F22B1F" w:rsidRPr="00AB03FF" w14:paraId="1CFE0CF6" w14:textId="77777777" w:rsidTr="00F22B1F">
        <w:tc>
          <w:tcPr>
            <w:tcW w:w="716" w:type="dxa"/>
            <w:shd w:val="clear" w:color="DDEBF7" w:fill="DDEBF7"/>
          </w:tcPr>
          <w:p w14:paraId="25C8CD09"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S/No.</w:t>
            </w:r>
          </w:p>
        </w:tc>
        <w:tc>
          <w:tcPr>
            <w:tcW w:w="1979" w:type="dxa"/>
            <w:shd w:val="clear" w:color="DDEBF7" w:fill="DDEBF7"/>
          </w:tcPr>
          <w:p w14:paraId="236E98DB"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NO.</w:t>
            </w:r>
          </w:p>
        </w:tc>
        <w:tc>
          <w:tcPr>
            <w:tcW w:w="6324" w:type="dxa"/>
            <w:shd w:val="clear" w:color="DDEBF7" w:fill="DDEBF7"/>
          </w:tcPr>
          <w:p w14:paraId="64EAC114"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TITLE AND SCOPE</w:t>
            </w:r>
          </w:p>
        </w:tc>
      </w:tr>
      <w:tr w:rsidR="00F22B1F" w:rsidRPr="00AB03FF" w14:paraId="5C55EFFE" w14:textId="77777777" w:rsidTr="00F22B1F">
        <w:tc>
          <w:tcPr>
            <w:tcW w:w="716" w:type="dxa"/>
            <w:shd w:val="clear" w:color="DDEBF7" w:fill="DDEBF7"/>
          </w:tcPr>
          <w:p w14:paraId="5943F409"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1EF5DFBA"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 xml:space="preserve">KS 2522:2015 </w:t>
            </w:r>
          </w:p>
        </w:tc>
        <w:tc>
          <w:tcPr>
            <w:tcW w:w="6324" w:type="dxa"/>
            <w:shd w:val="clear" w:color="DDEBF7" w:fill="DDEBF7"/>
            <w:hideMark/>
          </w:tcPr>
          <w:p w14:paraId="5994AFF8" w14:textId="77777777" w:rsidR="00F22B1F" w:rsidRPr="00AB03FF" w:rsidRDefault="00F22B1F" w:rsidP="00F22B1F">
            <w:pPr>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Set-top box decoder for free-to-air second generati</w:t>
            </w:r>
            <w:bookmarkStart w:id="0" w:name="_GoBack"/>
            <w:bookmarkEnd w:id="0"/>
            <w:r w:rsidRPr="00AB03FF">
              <w:rPr>
                <w:rFonts w:ascii="Arial Narrow" w:hAnsi="Arial Narrow" w:cs="Calibri"/>
                <w:color w:val="000000" w:themeColor="text1"/>
              </w:rPr>
              <w:t>on digital terrestrial television broadcasting system (DVB-T2) — Specification, First Edition</w:t>
            </w:r>
          </w:p>
          <w:p w14:paraId="382FAF49" w14:textId="77777777" w:rsidR="00F22B1F" w:rsidRPr="00AB03FF" w:rsidRDefault="00F22B1F" w:rsidP="00F22B1F">
            <w:pPr>
              <w:spacing w:before="0" w:after="0"/>
              <w:ind w:left="697" w:hanging="697"/>
              <w:jc w:val="left"/>
              <w:rPr>
                <w:rFonts w:ascii="Arial Narrow" w:hAnsi="Arial Narrow" w:cs="Calibri"/>
                <w:color w:val="000000" w:themeColor="text1"/>
              </w:rPr>
            </w:pPr>
          </w:p>
          <w:p w14:paraId="18645678" w14:textId="77777777" w:rsidR="00F22B1F" w:rsidRPr="00AB03FF" w:rsidRDefault="00AD2424" w:rsidP="00F22B1F">
            <w:pPr>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00F22B1F" w:rsidRPr="00AB03FF">
              <w:rPr>
                <w:rFonts w:ascii="Arial Narrow" w:hAnsi="Arial Narrow" w:cs="Calibri"/>
                <w:color w:val="000000" w:themeColor="text1"/>
              </w:rPr>
              <w:t>:</w:t>
            </w:r>
            <w:r w:rsidR="00F22B1F" w:rsidRPr="00AB03FF">
              <w:rPr>
                <w:rFonts w:ascii="Arial Narrow" w:hAnsi="Arial Narrow" w:cs="Calibri"/>
                <w:color w:val="000000" w:themeColor="text1"/>
              </w:rPr>
              <w:tab/>
            </w:r>
            <w:r w:rsidRPr="00AB03FF">
              <w:rPr>
                <w:rFonts w:ascii="Arial Narrow" w:hAnsi="Arial Narrow" w:cs="Calibri"/>
                <w:color w:val="000000" w:themeColor="text1"/>
              </w:rPr>
              <w:t>sets out the minimum technical requirements for a standard-definition and high definition set-top box decoder for free-to-air digital terrestrial television in Kenya</w:t>
            </w:r>
          </w:p>
        </w:tc>
      </w:tr>
      <w:tr w:rsidR="00F22B1F" w:rsidRPr="00AB03FF" w14:paraId="4359151A" w14:textId="77777777" w:rsidTr="00F22B1F">
        <w:tc>
          <w:tcPr>
            <w:tcW w:w="716" w:type="dxa"/>
          </w:tcPr>
          <w:p w14:paraId="67E4B82A"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4C7A1BBE"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1882-1:2009</w:t>
            </w:r>
          </w:p>
        </w:tc>
        <w:tc>
          <w:tcPr>
            <w:tcW w:w="6324" w:type="dxa"/>
            <w:hideMark/>
          </w:tcPr>
          <w:p w14:paraId="038724DD"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 xml:space="preserve">Kenya Standard — Code of practice ― Installation of telecommunication cables Part 1: </w:t>
            </w:r>
            <w:proofErr w:type="spellStart"/>
            <w:r w:rsidRPr="00AB03FF">
              <w:rPr>
                <w:rFonts w:ascii="Arial Narrow" w:hAnsi="Arial Narrow" w:cs="Calibri"/>
                <w:color w:val="000000" w:themeColor="text1"/>
              </w:rPr>
              <w:t>Fibre</w:t>
            </w:r>
            <w:proofErr w:type="spellEnd"/>
            <w:r w:rsidRPr="00AB03FF">
              <w:rPr>
                <w:rFonts w:ascii="Arial Narrow" w:hAnsi="Arial Narrow" w:cs="Calibri"/>
                <w:color w:val="000000" w:themeColor="text1"/>
              </w:rPr>
              <w:t xml:space="preserve"> optic cable in buildings</w:t>
            </w:r>
          </w:p>
          <w:p w14:paraId="729DE7C8"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2ED1D805"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 xml:space="preserve">Addresses installation requirements, primarily for indoor cabling, but also for campus-wide inter-building cabling, for high performance </w:t>
            </w:r>
            <w:proofErr w:type="spellStart"/>
            <w:r w:rsidRPr="00AB03FF">
              <w:rPr>
                <w:rFonts w:ascii="Arial Narrow" w:hAnsi="Arial Narrow" w:cs="Calibri"/>
                <w:color w:val="000000" w:themeColor="text1"/>
              </w:rPr>
              <w:t>fibre</w:t>
            </w:r>
            <w:proofErr w:type="spellEnd"/>
            <w:r w:rsidRPr="00AB03FF">
              <w:rPr>
                <w:rFonts w:ascii="Arial Narrow" w:hAnsi="Arial Narrow" w:cs="Calibri"/>
                <w:color w:val="000000" w:themeColor="text1"/>
              </w:rPr>
              <w:t xml:space="preserve"> optic cable that serves to transmit voice, video and data telecommunication</w:t>
            </w:r>
          </w:p>
        </w:tc>
      </w:tr>
      <w:tr w:rsidR="00F22B1F" w:rsidRPr="00AB03FF" w14:paraId="47E0C8C2" w14:textId="77777777" w:rsidTr="00F22B1F">
        <w:tc>
          <w:tcPr>
            <w:tcW w:w="716" w:type="dxa"/>
            <w:shd w:val="clear" w:color="DDEBF7" w:fill="DDEBF7"/>
          </w:tcPr>
          <w:p w14:paraId="4B8B65C1"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3DCB78C0"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1884-1:2009</w:t>
            </w:r>
          </w:p>
        </w:tc>
        <w:tc>
          <w:tcPr>
            <w:tcW w:w="6324" w:type="dxa"/>
            <w:shd w:val="clear" w:color="DDEBF7" w:fill="DDEBF7"/>
            <w:hideMark/>
          </w:tcPr>
          <w:p w14:paraId="41E43D35"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Accessories for use in antenna installations ― Specification Part 1: Splitters</w:t>
            </w:r>
          </w:p>
          <w:p w14:paraId="6C0D03D3"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4A58B33B"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 xml:space="preserve">Specifies the mechanical and electrical requirements for splitters for use in antenna installations both indoors and </w:t>
            </w:r>
            <w:r w:rsidRPr="00AB03FF">
              <w:rPr>
                <w:rFonts w:ascii="Arial Narrow" w:hAnsi="Arial Narrow" w:cs="Calibri"/>
                <w:color w:val="000000" w:themeColor="text1"/>
              </w:rPr>
              <w:lastRenderedPageBreak/>
              <w:t>outdoors, covering the VHF/UHF television and VHP sound broadcast bands</w:t>
            </w:r>
          </w:p>
        </w:tc>
      </w:tr>
      <w:tr w:rsidR="00F22B1F" w:rsidRPr="00AB03FF" w14:paraId="10B10911" w14:textId="77777777" w:rsidTr="00F22B1F">
        <w:tc>
          <w:tcPr>
            <w:tcW w:w="716" w:type="dxa"/>
          </w:tcPr>
          <w:p w14:paraId="15828AA7"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4C0DE9C8"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1884-2:2009</w:t>
            </w:r>
          </w:p>
        </w:tc>
        <w:tc>
          <w:tcPr>
            <w:tcW w:w="6324" w:type="dxa"/>
            <w:hideMark/>
          </w:tcPr>
          <w:p w14:paraId="4CCE7193"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Accessories for use in antenna installations ― Specification Part 2: Outlet boxes</w:t>
            </w:r>
          </w:p>
          <w:p w14:paraId="26E7FF07"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2D2F753A"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Specifies the mechanical and electrical requirements for outlet boxes for use indoors in antenna installations that cover the VHF/UHF television and VHF sound broadcast bands</w:t>
            </w:r>
          </w:p>
        </w:tc>
      </w:tr>
      <w:tr w:rsidR="00F22B1F" w:rsidRPr="00AB03FF" w14:paraId="410F4C55" w14:textId="77777777" w:rsidTr="00F22B1F">
        <w:tc>
          <w:tcPr>
            <w:tcW w:w="716" w:type="dxa"/>
            <w:shd w:val="clear" w:color="DDEBF7" w:fill="DDEBF7"/>
          </w:tcPr>
          <w:p w14:paraId="72B5803A"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380533F9"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1884-3:2009</w:t>
            </w:r>
          </w:p>
        </w:tc>
        <w:tc>
          <w:tcPr>
            <w:tcW w:w="6324" w:type="dxa"/>
            <w:shd w:val="clear" w:color="DDEBF7" w:fill="DDEBF7"/>
            <w:hideMark/>
          </w:tcPr>
          <w:p w14:paraId="3AA79785"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Accessories for use in antenna installations ― Specification Part 3: TV channel amplifiers, band amplifiers and broadband amplifiers</w:t>
            </w:r>
          </w:p>
          <w:p w14:paraId="4A6CAEC5"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46799328"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Specifies the mechanical and electrical requirements for TV channel amplifiers, band amplifiers and broadband amplifiers, for use in antenna installations both indoors and outdoors</w:t>
            </w:r>
          </w:p>
        </w:tc>
      </w:tr>
      <w:tr w:rsidR="00F22B1F" w:rsidRPr="00AB03FF" w14:paraId="75A21F8C" w14:textId="77777777" w:rsidTr="00F22B1F">
        <w:tc>
          <w:tcPr>
            <w:tcW w:w="716" w:type="dxa"/>
          </w:tcPr>
          <w:p w14:paraId="02F03AD0"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550D008C"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1884-4:2009</w:t>
            </w:r>
          </w:p>
        </w:tc>
        <w:tc>
          <w:tcPr>
            <w:tcW w:w="6324" w:type="dxa"/>
            <w:hideMark/>
          </w:tcPr>
          <w:p w14:paraId="6EDAE389"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Accessories for use in antenna installations ― Specification Part 4: TV channel convertors</w:t>
            </w:r>
          </w:p>
          <w:p w14:paraId="5E57E618"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6D231323"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Specifies the mechanical and electrical requirements for TV channel converters for use in antenna installations both indoors and outdoors covering the following frequency bands - FM sound 88 MHz to 108 MHz, VHP television band III 174 MHz to 254 MHz</w:t>
            </w:r>
          </w:p>
        </w:tc>
      </w:tr>
      <w:tr w:rsidR="00F22B1F" w:rsidRPr="00AB03FF" w14:paraId="18183C40" w14:textId="77777777" w:rsidTr="00F22B1F">
        <w:tc>
          <w:tcPr>
            <w:tcW w:w="716" w:type="dxa"/>
            <w:shd w:val="clear" w:color="DDEBF7" w:fill="DDEBF7"/>
          </w:tcPr>
          <w:p w14:paraId="67A1252F"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2C1C687F"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1884-5:2009</w:t>
            </w:r>
          </w:p>
        </w:tc>
        <w:tc>
          <w:tcPr>
            <w:tcW w:w="6324" w:type="dxa"/>
            <w:shd w:val="clear" w:color="DDEBF7" w:fill="DDEBF7"/>
            <w:hideMark/>
          </w:tcPr>
          <w:p w14:paraId="58E1A39B"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Accessories for use in antenna installations ― Specification Part 5: Low noise block convertors</w:t>
            </w:r>
          </w:p>
          <w:p w14:paraId="634E587C"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4FA56B75"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Specifies the mechanical and electrical requirements for low noise block converters used for frequency conversion and transfer of a frequency band in the microwave range (10 GHz to 13 GHz) to a lower frequency band (950 MHz to 2 050 MHz)</w:t>
            </w:r>
          </w:p>
        </w:tc>
      </w:tr>
      <w:tr w:rsidR="00F22B1F" w:rsidRPr="00AB03FF" w14:paraId="1FCA2F8B" w14:textId="77777777" w:rsidTr="00F22B1F">
        <w:tc>
          <w:tcPr>
            <w:tcW w:w="716" w:type="dxa"/>
          </w:tcPr>
          <w:p w14:paraId="74CC276F"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5711B267"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1885:2009</w:t>
            </w:r>
          </w:p>
        </w:tc>
        <w:tc>
          <w:tcPr>
            <w:tcW w:w="6324" w:type="dxa"/>
            <w:hideMark/>
          </w:tcPr>
          <w:p w14:paraId="5CF5F49B"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Code of practice ― Installation of mobile radio equipment in land based vehicles</w:t>
            </w:r>
          </w:p>
          <w:p w14:paraId="62B5BA52"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70B9B7B9"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Provides guidance for the installation in vehicles of land mobile radio, mobile telephones, "in-car" mounting kits for transportable and handheld equipment and associated ancillary equipment</w:t>
            </w:r>
          </w:p>
        </w:tc>
      </w:tr>
      <w:tr w:rsidR="00F22B1F" w:rsidRPr="00AB03FF" w14:paraId="483C3246" w14:textId="77777777" w:rsidTr="00F22B1F">
        <w:tc>
          <w:tcPr>
            <w:tcW w:w="716" w:type="dxa"/>
            <w:shd w:val="clear" w:color="DDEBF7" w:fill="DDEBF7"/>
          </w:tcPr>
          <w:p w14:paraId="2A8E9A60"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3BC5152A"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1893-1:2009</w:t>
            </w:r>
          </w:p>
        </w:tc>
        <w:tc>
          <w:tcPr>
            <w:tcW w:w="6324" w:type="dxa"/>
            <w:shd w:val="clear" w:color="DDEBF7" w:fill="DDEBF7"/>
            <w:hideMark/>
          </w:tcPr>
          <w:p w14:paraId="12C9C041"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Code of practice ― The installation of communal and single antenna systems for the reception of television and sound broadcast transmissions Part 1: VHF and UHF television and VHF sound antenna systems</w:t>
            </w:r>
          </w:p>
          <w:p w14:paraId="60E148D7"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3DB44808"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 xml:space="preserve">Establishes principles for the installation, modification and maintenance of communal and single antenna systems (i.e. antennae and associated equipment other than HF wired </w:t>
            </w:r>
            <w:r w:rsidRPr="00AB03FF">
              <w:rPr>
                <w:rFonts w:ascii="Arial Narrow" w:hAnsi="Arial Narrow" w:cs="Calibri"/>
                <w:color w:val="000000" w:themeColor="text1"/>
              </w:rPr>
              <w:lastRenderedPageBreak/>
              <w:t>distribution systems) for the reception of VHF and UHF television and VHF sound</w:t>
            </w:r>
          </w:p>
        </w:tc>
      </w:tr>
      <w:tr w:rsidR="00F22B1F" w:rsidRPr="00AB03FF" w14:paraId="621D99CD" w14:textId="77777777" w:rsidTr="00F22B1F">
        <w:tc>
          <w:tcPr>
            <w:tcW w:w="716" w:type="dxa"/>
          </w:tcPr>
          <w:p w14:paraId="48617953"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5E785372"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1893-2:2009</w:t>
            </w:r>
          </w:p>
        </w:tc>
        <w:tc>
          <w:tcPr>
            <w:tcW w:w="6324" w:type="dxa"/>
            <w:hideMark/>
          </w:tcPr>
          <w:p w14:paraId="492624A4"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Code of practice ― The installation of communal and single antenna systems for the reception of television and sound broadcast transmissions Part 2: Satellite antenna systems</w:t>
            </w:r>
          </w:p>
          <w:p w14:paraId="57587474"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77786DEA"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Establishes principles for the installation of communal and single antenna systems for the reception of signals in the frequency range 11.2 GHz to 12.7 GHz from orbiting satellites</w:t>
            </w:r>
          </w:p>
        </w:tc>
      </w:tr>
      <w:tr w:rsidR="00F22B1F" w:rsidRPr="00AB03FF" w14:paraId="749B6F87" w14:textId="77777777" w:rsidTr="00F22B1F">
        <w:tc>
          <w:tcPr>
            <w:tcW w:w="716" w:type="dxa"/>
            <w:shd w:val="clear" w:color="DDEBF7" w:fill="DDEBF7"/>
          </w:tcPr>
          <w:p w14:paraId="24A2279D"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7BD67937"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1894-1:2009</w:t>
            </w:r>
          </w:p>
        </w:tc>
        <w:tc>
          <w:tcPr>
            <w:tcW w:w="6324" w:type="dxa"/>
            <w:shd w:val="clear" w:color="DDEBF7" w:fill="DDEBF7"/>
            <w:hideMark/>
          </w:tcPr>
          <w:p w14:paraId="6DF5223F"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Radio sites Part 1: Technical performance (narrow band analogue mobile radio services)</w:t>
            </w:r>
          </w:p>
          <w:p w14:paraId="702FC10C"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730DD46E"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Covers the minimum characteristics considered necessary to optimize the use of the radio frequency spectrum allocated to narrowband analog mobile radio services</w:t>
            </w:r>
          </w:p>
        </w:tc>
      </w:tr>
      <w:tr w:rsidR="00F22B1F" w:rsidRPr="00AB03FF" w14:paraId="0B719CA2" w14:textId="77777777" w:rsidTr="00F22B1F">
        <w:tc>
          <w:tcPr>
            <w:tcW w:w="716" w:type="dxa"/>
          </w:tcPr>
          <w:p w14:paraId="0A1279B8"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01D43C13"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1894-2:2009</w:t>
            </w:r>
          </w:p>
        </w:tc>
        <w:tc>
          <w:tcPr>
            <w:tcW w:w="6324" w:type="dxa"/>
            <w:hideMark/>
          </w:tcPr>
          <w:p w14:paraId="4611492B"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Radio sites Part 2: Site management</w:t>
            </w:r>
          </w:p>
          <w:p w14:paraId="2030CD2B"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p>
          <w:p w14:paraId="0B3BAD3C" w14:textId="77777777" w:rsidR="00AD2424" w:rsidRPr="00AB03FF" w:rsidRDefault="00AD2424"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Covers procedures for radio site management. Guidelines are given with regard to the methods to be followed in the management of the high site and in the environmental impact investigation</w:t>
            </w:r>
          </w:p>
        </w:tc>
      </w:tr>
      <w:tr w:rsidR="00F22B1F" w:rsidRPr="00AB03FF" w14:paraId="737C4EFF" w14:textId="77777777" w:rsidTr="00F22B1F">
        <w:tc>
          <w:tcPr>
            <w:tcW w:w="716" w:type="dxa"/>
            <w:shd w:val="clear" w:color="DDEBF7" w:fill="DDEBF7"/>
          </w:tcPr>
          <w:p w14:paraId="2092B16B"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36AD230C"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1896:2009</w:t>
            </w:r>
          </w:p>
        </w:tc>
        <w:tc>
          <w:tcPr>
            <w:tcW w:w="6324" w:type="dxa"/>
            <w:shd w:val="clear" w:color="DDEBF7" w:fill="DDEBF7"/>
            <w:hideMark/>
          </w:tcPr>
          <w:p w14:paraId="2B2660A6"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Digital cellular telecommunications system — Abbreviations and acronyms</w:t>
            </w:r>
          </w:p>
          <w:p w14:paraId="7A56793F"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p>
          <w:p w14:paraId="627667E3"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Provides the abbreviations and acronyms to be used throughout the GSM specifications</w:t>
            </w:r>
          </w:p>
        </w:tc>
      </w:tr>
      <w:tr w:rsidR="00F22B1F" w:rsidRPr="00AB03FF" w14:paraId="01E747C7" w14:textId="77777777" w:rsidTr="00F22B1F">
        <w:tc>
          <w:tcPr>
            <w:tcW w:w="716" w:type="dxa"/>
          </w:tcPr>
          <w:p w14:paraId="02EF7D2F"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38A220F5"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1897:2009</w:t>
            </w:r>
          </w:p>
        </w:tc>
        <w:tc>
          <w:tcPr>
            <w:tcW w:w="6324" w:type="dxa"/>
            <w:hideMark/>
          </w:tcPr>
          <w:p w14:paraId="3ED72947"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Radio broadcasting systems — Very High Frequency (VHF), frequency modulated, sound broadcasting transmitters — Code of practice for site engineering</w:t>
            </w:r>
          </w:p>
          <w:p w14:paraId="5F576434"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p>
          <w:p w14:paraId="36AC0FCF"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Provides guidance for engineers concerned with the design, specification, installation, operation and maintenance of radio systems</w:t>
            </w:r>
          </w:p>
        </w:tc>
      </w:tr>
      <w:tr w:rsidR="00F22B1F" w:rsidRPr="00AB03FF" w14:paraId="583A583E" w14:textId="77777777" w:rsidTr="00F22B1F">
        <w:tc>
          <w:tcPr>
            <w:tcW w:w="716" w:type="dxa"/>
            <w:shd w:val="clear" w:color="DDEBF7" w:fill="DDEBF7"/>
          </w:tcPr>
          <w:p w14:paraId="20B94D06"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shd w:val="clear" w:color="DDEBF7" w:fill="DDEBF7"/>
            <w:hideMark/>
          </w:tcPr>
          <w:p w14:paraId="7FCCADB4"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1904:2009</w:t>
            </w:r>
          </w:p>
        </w:tc>
        <w:tc>
          <w:tcPr>
            <w:tcW w:w="6324" w:type="dxa"/>
            <w:shd w:val="clear" w:color="DDEBF7" w:fill="DDEBF7"/>
            <w:hideMark/>
          </w:tcPr>
          <w:p w14:paraId="6A30D104"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Digital cellular telecommunications system — Radio equipment and systems — Radio site engineering for radio equipment and systems in the mobile service</w:t>
            </w:r>
          </w:p>
          <w:p w14:paraId="6DCF85C1"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p>
          <w:p w14:paraId="4D4B2E41"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Provides guidance for engineers concerned with the design, specification, installation, operation and maintenance of radio systems</w:t>
            </w:r>
          </w:p>
        </w:tc>
      </w:tr>
      <w:tr w:rsidR="00F22B1F" w:rsidRPr="00AB03FF" w14:paraId="1162EED2" w14:textId="77777777" w:rsidTr="00F22B1F">
        <w:tc>
          <w:tcPr>
            <w:tcW w:w="716" w:type="dxa"/>
          </w:tcPr>
          <w:p w14:paraId="51581A30" w14:textId="77777777" w:rsidR="00F22B1F" w:rsidRPr="00AB03FF" w:rsidRDefault="00F22B1F" w:rsidP="00F22B1F">
            <w:pPr>
              <w:pStyle w:val="ListParagraph"/>
              <w:numPr>
                <w:ilvl w:val="0"/>
                <w:numId w:val="54"/>
              </w:numPr>
              <w:spacing w:before="0" w:after="0"/>
              <w:jc w:val="left"/>
              <w:rPr>
                <w:rFonts w:ascii="Arial Narrow" w:hAnsi="Arial Narrow" w:cs="Calibri"/>
                <w:color w:val="000000" w:themeColor="text1"/>
              </w:rPr>
            </w:pPr>
          </w:p>
        </w:tc>
        <w:tc>
          <w:tcPr>
            <w:tcW w:w="1979" w:type="dxa"/>
            <w:hideMark/>
          </w:tcPr>
          <w:p w14:paraId="3BF19135" w14:textId="77777777" w:rsidR="00F22B1F" w:rsidRPr="00AB03FF" w:rsidRDefault="00F22B1F" w:rsidP="00F22B1F">
            <w:pPr>
              <w:spacing w:before="0" w:after="0"/>
              <w:jc w:val="left"/>
              <w:rPr>
                <w:rFonts w:ascii="Arial Narrow" w:hAnsi="Arial Narrow" w:cs="Calibri"/>
                <w:color w:val="000000" w:themeColor="text1"/>
              </w:rPr>
            </w:pPr>
            <w:r w:rsidRPr="00AB03FF">
              <w:rPr>
                <w:rFonts w:ascii="Arial Narrow" w:hAnsi="Arial Narrow" w:cs="Calibri"/>
                <w:color w:val="000000" w:themeColor="text1"/>
              </w:rPr>
              <w:t>KS 1901:2009</w:t>
            </w:r>
          </w:p>
        </w:tc>
        <w:tc>
          <w:tcPr>
            <w:tcW w:w="6324" w:type="dxa"/>
            <w:hideMark/>
          </w:tcPr>
          <w:p w14:paraId="3D5C7C11" w14:textId="77777777" w:rsidR="00F22B1F" w:rsidRPr="00AB03FF" w:rsidRDefault="00F22B1F"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Title:</w:t>
            </w:r>
            <w:r w:rsidRPr="00AB03FF">
              <w:rPr>
                <w:rFonts w:ascii="Arial Narrow" w:hAnsi="Arial Narrow" w:cs="Calibri"/>
                <w:color w:val="000000" w:themeColor="text1"/>
              </w:rPr>
              <w:tab/>
              <w:t>Kenya Standard — Satellite television receiving antennas — Mechanical requirements</w:t>
            </w:r>
          </w:p>
          <w:p w14:paraId="20105B8A"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p>
          <w:p w14:paraId="2E947BED" w14:textId="77777777" w:rsidR="00320F9B" w:rsidRPr="00AB03FF" w:rsidRDefault="00320F9B" w:rsidP="00F22B1F">
            <w:pPr>
              <w:tabs>
                <w:tab w:val="left" w:pos="697"/>
              </w:tabs>
              <w:spacing w:before="0" w:after="0"/>
              <w:ind w:left="697" w:hanging="697"/>
              <w:jc w:val="left"/>
              <w:rPr>
                <w:rFonts w:ascii="Arial Narrow" w:hAnsi="Arial Narrow" w:cs="Calibri"/>
                <w:color w:val="000000" w:themeColor="text1"/>
              </w:rPr>
            </w:pPr>
            <w:r w:rsidRPr="00AB03FF">
              <w:rPr>
                <w:rFonts w:ascii="Arial Narrow" w:hAnsi="Arial Narrow" w:cs="Calibri"/>
                <w:color w:val="000000" w:themeColor="text1"/>
              </w:rPr>
              <w:t>Description:</w:t>
            </w:r>
            <w:r w:rsidRPr="00AB03FF">
              <w:rPr>
                <w:rFonts w:ascii="Arial Narrow" w:hAnsi="Arial Narrow" w:cs="Calibri"/>
                <w:color w:val="000000" w:themeColor="text1"/>
              </w:rPr>
              <w:tab/>
              <w:t>Specifies requirements for antennas designed to be used out of doors for the reception of satellite television transmissions, in the frequency range 8.0 GHz to 14.0 GHz</w:t>
            </w:r>
          </w:p>
        </w:tc>
      </w:tr>
    </w:tbl>
    <w:p w14:paraId="4B320AC6" w14:textId="77777777" w:rsidR="00B44C09" w:rsidRDefault="00B44C09" w:rsidP="0017389A">
      <w:pPr>
        <w:tabs>
          <w:tab w:val="right" w:leader="dot" w:pos="3600"/>
        </w:tabs>
        <w:autoSpaceDE w:val="0"/>
        <w:autoSpaceDN w:val="0"/>
        <w:adjustRightInd w:val="0"/>
        <w:rPr>
          <w:rFonts w:ascii="Arial" w:hAnsi="Arial" w:cs="Arial"/>
          <w:bCs/>
          <w:sz w:val="20"/>
          <w:szCs w:val="20"/>
        </w:rPr>
        <w:sectPr w:rsidR="00B44C09" w:rsidSect="00E70218">
          <w:footerReference w:type="first" r:id="rId11"/>
          <w:pgSz w:w="11909" w:h="16834" w:code="9"/>
          <w:pgMar w:top="1260" w:right="1440" w:bottom="1440" w:left="1440" w:header="720" w:footer="720" w:gutter="0"/>
          <w:pgNumType w:start="1"/>
          <w:cols w:space="720"/>
          <w:titlePg/>
          <w:docGrid w:linePitch="360"/>
        </w:sectPr>
      </w:pPr>
    </w:p>
    <w:p w14:paraId="59D43C4C" w14:textId="77777777" w:rsidR="00B44C09" w:rsidRDefault="00AC61D9" w:rsidP="002501B2">
      <w:pPr>
        <w:jc w:val="center"/>
        <w:rPr>
          <w:rFonts w:ascii="Arial" w:hAnsi="Arial" w:cs="Arial"/>
          <w:sz w:val="20"/>
        </w:rPr>
      </w:pPr>
      <w:r w:rsidRPr="00AC61D9">
        <w:rPr>
          <w:rFonts w:ascii="Arial" w:hAnsi="Arial" w:cs="Arial"/>
          <w:b/>
          <w:bCs/>
          <w:sz w:val="20"/>
          <w:szCs w:val="20"/>
        </w:rPr>
        <w:lastRenderedPageBreak/>
        <w:t>SYSTEMATIC REVIEW FORM</w:t>
      </w:r>
    </w:p>
    <w:tbl>
      <w:tblPr>
        <w:tblW w:w="1428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2070"/>
        <w:gridCol w:w="1710"/>
        <w:gridCol w:w="1080"/>
        <w:gridCol w:w="1350"/>
        <w:gridCol w:w="1260"/>
        <w:gridCol w:w="5940"/>
      </w:tblGrid>
      <w:tr w:rsidR="00320F9B" w14:paraId="3369A4CE" w14:textId="77777777" w:rsidTr="00320F9B">
        <w:trPr>
          <w:trHeight w:val="638"/>
        </w:trPr>
        <w:tc>
          <w:tcPr>
            <w:tcW w:w="877" w:type="dxa"/>
            <w:vMerge w:val="restart"/>
          </w:tcPr>
          <w:p w14:paraId="3E1A1ECE" w14:textId="77777777" w:rsidR="00320F9B" w:rsidRPr="001D7A55" w:rsidRDefault="00320F9B" w:rsidP="00166644">
            <w:pPr>
              <w:jc w:val="left"/>
              <w:rPr>
                <w:rFonts w:ascii="Arial" w:hAnsi="Arial" w:cs="Arial"/>
                <w:b/>
                <w:sz w:val="20"/>
              </w:rPr>
            </w:pPr>
            <w:r>
              <w:rPr>
                <w:rFonts w:ascii="Arial" w:hAnsi="Arial" w:cs="Arial"/>
                <w:b/>
                <w:sz w:val="20"/>
              </w:rPr>
              <w:t>S/No.</w:t>
            </w:r>
          </w:p>
        </w:tc>
        <w:tc>
          <w:tcPr>
            <w:tcW w:w="2070" w:type="dxa"/>
            <w:vMerge w:val="restart"/>
          </w:tcPr>
          <w:p w14:paraId="0B1C8D98" w14:textId="77777777" w:rsidR="00320F9B" w:rsidRPr="001D7A55" w:rsidRDefault="00320F9B" w:rsidP="00166644">
            <w:pPr>
              <w:jc w:val="left"/>
              <w:rPr>
                <w:rFonts w:ascii="Arial" w:hAnsi="Arial" w:cs="Arial"/>
                <w:b/>
                <w:sz w:val="20"/>
              </w:rPr>
            </w:pPr>
            <w:r w:rsidRPr="001D7A55">
              <w:rPr>
                <w:rFonts w:ascii="Arial" w:hAnsi="Arial" w:cs="Arial"/>
                <w:b/>
                <w:sz w:val="20"/>
              </w:rPr>
              <w:t>Standard Number</w:t>
            </w:r>
          </w:p>
        </w:tc>
        <w:tc>
          <w:tcPr>
            <w:tcW w:w="5400" w:type="dxa"/>
            <w:gridSpan w:val="4"/>
          </w:tcPr>
          <w:p w14:paraId="6170C201" w14:textId="77777777" w:rsidR="00320F9B" w:rsidRPr="001D7A55" w:rsidRDefault="00320F9B" w:rsidP="006D4185">
            <w:pPr>
              <w:jc w:val="center"/>
              <w:rPr>
                <w:rFonts w:ascii="Arial" w:hAnsi="Arial" w:cs="Arial"/>
                <w:b/>
                <w:sz w:val="20"/>
              </w:rPr>
            </w:pPr>
            <w:r w:rsidRPr="00FB0305">
              <w:rPr>
                <w:rFonts w:ascii="Arial" w:hAnsi="Arial" w:cs="Arial"/>
                <w:b/>
                <w:sz w:val="20"/>
              </w:rPr>
              <w:t>Our proposed action</w:t>
            </w:r>
          </w:p>
        </w:tc>
        <w:tc>
          <w:tcPr>
            <w:tcW w:w="5940" w:type="dxa"/>
            <w:vMerge w:val="restart"/>
          </w:tcPr>
          <w:p w14:paraId="3DCF8CA3" w14:textId="77777777" w:rsidR="00320F9B" w:rsidRDefault="00320F9B" w:rsidP="00166644">
            <w:pPr>
              <w:jc w:val="left"/>
              <w:rPr>
                <w:rFonts w:ascii="Arial" w:hAnsi="Arial" w:cs="Arial"/>
                <w:b/>
                <w:sz w:val="20"/>
              </w:rPr>
            </w:pPr>
            <w:r w:rsidRPr="00AC61D9">
              <w:rPr>
                <w:rFonts w:ascii="Arial" w:hAnsi="Arial" w:cs="Arial"/>
                <w:b/>
                <w:sz w:val="20"/>
              </w:rPr>
              <w:t>Justification for revision, amendment or withdrawal (cite specific clauses and wording preferred)</w:t>
            </w:r>
          </w:p>
          <w:p w14:paraId="5E530EBF" w14:textId="77777777" w:rsidR="00320F9B" w:rsidRPr="001D7A55" w:rsidRDefault="00320F9B" w:rsidP="00166644">
            <w:pPr>
              <w:jc w:val="left"/>
              <w:rPr>
                <w:rFonts w:ascii="Arial" w:hAnsi="Arial" w:cs="Arial"/>
                <w:b/>
                <w:sz w:val="20"/>
              </w:rPr>
            </w:pPr>
          </w:p>
        </w:tc>
      </w:tr>
      <w:tr w:rsidR="00320F9B" w14:paraId="44A2DA58" w14:textId="77777777" w:rsidTr="00320F9B">
        <w:tc>
          <w:tcPr>
            <w:tcW w:w="877" w:type="dxa"/>
            <w:vMerge/>
          </w:tcPr>
          <w:p w14:paraId="76E4507E" w14:textId="77777777" w:rsidR="00320F9B" w:rsidRPr="001D7A55" w:rsidRDefault="00320F9B" w:rsidP="00166644">
            <w:pPr>
              <w:jc w:val="left"/>
              <w:rPr>
                <w:rFonts w:ascii="Arial" w:hAnsi="Arial" w:cs="Arial"/>
                <w:b/>
                <w:sz w:val="20"/>
              </w:rPr>
            </w:pPr>
          </w:p>
        </w:tc>
        <w:tc>
          <w:tcPr>
            <w:tcW w:w="2070" w:type="dxa"/>
            <w:vMerge/>
          </w:tcPr>
          <w:p w14:paraId="2FF0F3ED" w14:textId="77777777" w:rsidR="00320F9B" w:rsidRPr="001D7A55" w:rsidRDefault="00320F9B" w:rsidP="00166644">
            <w:pPr>
              <w:jc w:val="left"/>
              <w:rPr>
                <w:rFonts w:ascii="Arial" w:hAnsi="Arial" w:cs="Arial"/>
                <w:b/>
                <w:sz w:val="20"/>
              </w:rPr>
            </w:pPr>
          </w:p>
        </w:tc>
        <w:tc>
          <w:tcPr>
            <w:tcW w:w="1710" w:type="dxa"/>
          </w:tcPr>
          <w:p w14:paraId="49CA9234" w14:textId="77777777" w:rsidR="00320F9B" w:rsidRPr="00AC61D9" w:rsidRDefault="00320F9B" w:rsidP="00166644">
            <w:pPr>
              <w:jc w:val="left"/>
              <w:rPr>
                <w:rFonts w:ascii="Arial" w:hAnsi="Arial" w:cs="Arial"/>
                <w:color w:val="000000"/>
                <w:sz w:val="20"/>
                <w:szCs w:val="20"/>
              </w:rPr>
            </w:pPr>
            <w:r w:rsidRPr="00AC61D9">
              <w:rPr>
                <w:rFonts w:ascii="Arial" w:hAnsi="Arial" w:cs="Arial"/>
                <w:sz w:val="20"/>
              </w:rPr>
              <w:t>Confirmation of the Kenya Standard</w:t>
            </w:r>
          </w:p>
        </w:tc>
        <w:tc>
          <w:tcPr>
            <w:tcW w:w="1080" w:type="dxa"/>
          </w:tcPr>
          <w:p w14:paraId="7B57BD30" w14:textId="77777777" w:rsidR="00320F9B" w:rsidRDefault="00320F9B" w:rsidP="00166644">
            <w:pPr>
              <w:jc w:val="left"/>
              <w:rPr>
                <w:rFonts w:ascii="Arial" w:hAnsi="Arial" w:cs="Arial"/>
                <w:b/>
                <w:sz w:val="20"/>
              </w:rPr>
            </w:pPr>
            <w:r>
              <w:rPr>
                <w:rFonts w:ascii="Arial" w:hAnsi="Arial" w:cs="Arial"/>
                <w:color w:val="000000"/>
                <w:sz w:val="20"/>
                <w:szCs w:val="20"/>
              </w:rPr>
              <w:t>Revision</w:t>
            </w:r>
          </w:p>
        </w:tc>
        <w:tc>
          <w:tcPr>
            <w:tcW w:w="1350" w:type="dxa"/>
          </w:tcPr>
          <w:p w14:paraId="7001D4A5" w14:textId="77777777" w:rsidR="00320F9B" w:rsidRDefault="00320F9B" w:rsidP="002501B2">
            <w:pPr>
              <w:jc w:val="left"/>
              <w:rPr>
                <w:rFonts w:ascii="Arial" w:hAnsi="Arial" w:cs="Arial"/>
                <w:b/>
                <w:sz w:val="20"/>
              </w:rPr>
            </w:pPr>
            <w:r>
              <w:rPr>
                <w:rFonts w:ascii="Arial" w:hAnsi="Arial" w:cs="Arial"/>
                <w:color w:val="000000"/>
                <w:sz w:val="20"/>
                <w:szCs w:val="20"/>
              </w:rPr>
              <w:t>Amendment</w:t>
            </w:r>
          </w:p>
        </w:tc>
        <w:tc>
          <w:tcPr>
            <w:tcW w:w="1260" w:type="dxa"/>
          </w:tcPr>
          <w:p w14:paraId="1147A1AD" w14:textId="77777777" w:rsidR="00320F9B" w:rsidRDefault="00320F9B" w:rsidP="002501B2">
            <w:pPr>
              <w:jc w:val="left"/>
              <w:rPr>
                <w:rFonts w:ascii="Arial" w:hAnsi="Arial" w:cs="Arial"/>
                <w:b/>
                <w:sz w:val="20"/>
              </w:rPr>
            </w:pPr>
            <w:r>
              <w:rPr>
                <w:rFonts w:ascii="Arial" w:hAnsi="Arial" w:cs="Arial"/>
                <w:color w:val="000000"/>
                <w:sz w:val="20"/>
                <w:szCs w:val="20"/>
              </w:rPr>
              <w:t>Withdrawal</w:t>
            </w:r>
          </w:p>
        </w:tc>
        <w:tc>
          <w:tcPr>
            <w:tcW w:w="5940" w:type="dxa"/>
            <w:vMerge/>
          </w:tcPr>
          <w:p w14:paraId="04121456" w14:textId="77777777" w:rsidR="00320F9B" w:rsidRPr="00B44C09" w:rsidRDefault="00320F9B" w:rsidP="00166644">
            <w:pPr>
              <w:jc w:val="left"/>
              <w:rPr>
                <w:rFonts w:ascii="Arial" w:hAnsi="Arial" w:cs="Arial"/>
                <w:b/>
                <w:sz w:val="20"/>
              </w:rPr>
            </w:pPr>
          </w:p>
        </w:tc>
      </w:tr>
      <w:tr w:rsidR="00320F9B" w14:paraId="5AE3C13D"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369F372A"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5140DE4" w14:textId="77777777" w:rsidR="00320F9B" w:rsidRPr="00BE0705" w:rsidRDefault="00320F9B" w:rsidP="00320F9B">
            <w:r w:rsidRPr="00BE0705">
              <w:t xml:space="preserve">KS 2522:2015 </w:t>
            </w:r>
          </w:p>
        </w:tc>
        <w:tc>
          <w:tcPr>
            <w:tcW w:w="1710" w:type="dxa"/>
            <w:tcBorders>
              <w:top w:val="single" w:sz="4" w:space="0" w:color="auto"/>
              <w:left w:val="single" w:sz="4" w:space="0" w:color="auto"/>
              <w:bottom w:val="single" w:sz="4" w:space="0" w:color="auto"/>
              <w:right w:val="single" w:sz="4" w:space="0" w:color="auto"/>
            </w:tcBorders>
          </w:tcPr>
          <w:p w14:paraId="3D65B02E"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124B213"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7D042D0"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BA02372"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197C916D" w14:textId="77777777" w:rsidR="00320F9B" w:rsidRDefault="00320F9B" w:rsidP="00320F9B">
            <w:pPr>
              <w:rPr>
                <w:rFonts w:ascii="Calibri" w:hAnsi="Calibri"/>
                <w:color w:val="000000"/>
                <w:sz w:val="22"/>
                <w:szCs w:val="22"/>
              </w:rPr>
            </w:pPr>
          </w:p>
        </w:tc>
      </w:tr>
      <w:tr w:rsidR="00320F9B" w14:paraId="11599424"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6E79154D"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332A80" w14:textId="77777777" w:rsidR="00320F9B" w:rsidRPr="00BE0705" w:rsidRDefault="00320F9B" w:rsidP="00320F9B">
            <w:r w:rsidRPr="00BE0705">
              <w:t>KS 1882-1:2009</w:t>
            </w:r>
          </w:p>
        </w:tc>
        <w:tc>
          <w:tcPr>
            <w:tcW w:w="1710" w:type="dxa"/>
            <w:tcBorders>
              <w:top w:val="single" w:sz="4" w:space="0" w:color="auto"/>
              <w:left w:val="single" w:sz="4" w:space="0" w:color="auto"/>
              <w:bottom w:val="single" w:sz="4" w:space="0" w:color="auto"/>
              <w:right w:val="single" w:sz="4" w:space="0" w:color="auto"/>
            </w:tcBorders>
          </w:tcPr>
          <w:p w14:paraId="63F25055"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00B2EE"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FDD3D6F"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58AB785"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65AF4E3E" w14:textId="77777777" w:rsidR="00320F9B" w:rsidRDefault="00320F9B" w:rsidP="00320F9B">
            <w:pPr>
              <w:rPr>
                <w:rFonts w:ascii="Calibri" w:hAnsi="Calibri"/>
                <w:color w:val="000000"/>
                <w:sz w:val="22"/>
                <w:szCs w:val="22"/>
              </w:rPr>
            </w:pPr>
          </w:p>
        </w:tc>
      </w:tr>
      <w:tr w:rsidR="00320F9B" w14:paraId="60B8FB5D"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3494E6F8"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6D9348" w14:textId="77777777" w:rsidR="00320F9B" w:rsidRPr="00BE0705" w:rsidRDefault="00320F9B" w:rsidP="00320F9B">
            <w:r w:rsidRPr="00BE0705">
              <w:t>KS 1884-1:2009</w:t>
            </w:r>
          </w:p>
        </w:tc>
        <w:tc>
          <w:tcPr>
            <w:tcW w:w="1710" w:type="dxa"/>
            <w:tcBorders>
              <w:top w:val="single" w:sz="4" w:space="0" w:color="auto"/>
              <w:left w:val="single" w:sz="4" w:space="0" w:color="auto"/>
              <w:bottom w:val="single" w:sz="4" w:space="0" w:color="auto"/>
              <w:right w:val="single" w:sz="4" w:space="0" w:color="auto"/>
            </w:tcBorders>
          </w:tcPr>
          <w:p w14:paraId="39B80D2B"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DE068E"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4AE70EB"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2EC077"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39A4795" w14:textId="77777777" w:rsidR="00320F9B" w:rsidRDefault="00320F9B" w:rsidP="00320F9B">
            <w:pPr>
              <w:rPr>
                <w:rFonts w:ascii="Calibri" w:hAnsi="Calibri"/>
                <w:color w:val="000000"/>
                <w:sz w:val="22"/>
                <w:szCs w:val="22"/>
              </w:rPr>
            </w:pPr>
          </w:p>
        </w:tc>
      </w:tr>
      <w:tr w:rsidR="00320F9B" w14:paraId="799761DD"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33900FA1"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8B45C18" w14:textId="77777777" w:rsidR="00320F9B" w:rsidRPr="00BE0705" w:rsidRDefault="00320F9B" w:rsidP="00320F9B">
            <w:r w:rsidRPr="00BE0705">
              <w:t>KS 1884-2:2009</w:t>
            </w:r>
          </w:p>
        </w:tc>
        <w:tc>
          <w:tcPr>
            <w:tcW w:w="1710" w:type="dxa"/>
            <w:tcBorders>
              <w:top w:val="single" w:sz="4" w:space="0" w:color="auto"/>
              <w:left w:val="single" w:sz="4" w:space="0" w:color="auto"/>
              <w:bottom w:val="single" w:sz="4" w:space="0" w:color="auto"/>
              <w:right w:val="single" w:sz="4" w:space="0" w:color="auto"/>
            </w:tcBorders>
          </w:tcPr>
          <w:p w14:paraId="7A3DDEEE"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29E44FA"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CC8EFAD"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39FBD47"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622D2954" w14:textId="77777777" w:rsidR="00320F9B" w:rsidRDefault="00320F9B" w:rsidP="00320F9B">
            <w:pPr>
              <w:rPr>
                <w:rFonts w:ascii="Calibri" w:hAnsi="Calibri"/>
                <w:color w:val="000000"/>
                <w:sz w:val="22"/>
                <w:szCs w:val="22"/>
              </w:rPr>
            </w:pPr>
          </w:p>
        </w:tc>
      </w:tr>
      <w:tr w:rsidR="00320F9B" w14:paraId="2790C2EB"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3F926022"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D7ED423" w14:textId="77777777" w:rsidR="00320F9B" w:rsidRPr="00BE0705" w:rsidRDefault="00320F9B" w:rsidP="00320F9B">
            <w:r w:rsidRPr="00BE0705">
              <w:t>KS 1884-3:2009</w:t>
            </w:r>
          </w:p>
        </w:tc>
        <w:tc>
          <w:tcPr>
            <w:tcW w:w="1710" w:type="dxa"/>
            <w:tcBorders>
              <w:top w:val="single" w:sz="4" w:space="0" w:color="auto"/>
              <w:left w:val="single" w:sz="4" w:space="0" w:color="auto"/>
              <w:bottom w:val="single" w:sz="4" w:space="0" w:color="auto"/>
              <w:right w:val="single" w:sz="4" w:space="0" w:color="auto"/>
            </w:tcBorders>
          </w:tcPr>
          <w:p w14:paraId="359D301C"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4B8380"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E00C3D4"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657F4C"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6D15404" w14:textId="77777777" w:rsidR="00320F9B" w:rsidRDefault="00320F9B" w:rsidP="00320F9B">
            <w:pPr>
              <w:rPr>
                <w:rFonts w:ascii="Calibri" w:hAnsi="Calibri"/>
                <w:color w:val="000000"/>
                <w:sz w:val="22"/>
                <w:szCs w:val="22"/>
              </w:rPr>
            </w:pPr>
          </w:p>
        </w:tc>
      </w:tr>
      <w:tr w:rsidR="00320F9B" w14:paraId="3A15A3B9"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77928450"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AEAF430" w14:textId="77777777" w:rsidR="00320F9B" w:rsidRPr="00BE0705" w:rsidRDefault="00320F9B" w:rsidP="00320F9B">
            <w:r w:rsidRPr="00BE0705">
              <w:t>KS 1884-4:2009</w:t>
            </w:r>
          </w:p>
        </w:tc>
        <w:tc>
          <w:tcPr>
            <w:tcW w:w="1710" w:type="dxa"/>
            <w:tcBorders>
              <w:top w:val="single" w:sz="4" w:space="0" w:color="auto"/>
              <w:left w:val="single" w:sz="4" w:space="0" w:color="auto"/>
              <w:bottom w:val="single" w:sz="4" w:space="0" w:color="auto"/>
              <w:right w:val="single" w:sz="4" w:space="0" w:color="auto"/>
            </w:tcBorders>
          </w:tcPr>
          <w:p w14:paraId="32A6AA7B"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EE710BE"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17A1D9E"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4CF1304"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1719210D" w14:textId="77777777" w:rsidR="00320F9B" w:rsidRDefault="00320F9B" w:rsidP="00320F9B">
            <w:pPr>
              <w:rPr>
                <w:rFonts w:ascii="Calibri" w:hAnsi="Calibri"/>
                <w:color w:val="000000"/>
                <w:sz w:val="22"/>
                <w:szCs w:val="22"/>
              </w:rPr>
            </w:pPr>
          </w:p>
        </w:tc>
      </w:tr>
      <w:tr w:rsidR="00320F9B" w14:paraId="4B9EB815"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6B36CC4B"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483C27" w14:textId="77777777" w:rsidR="00320F9B" w:rsidRPr="00BE0705" w:rsidRDefault="00320F9B" w:rsidP="00320F9B">
            <w:r w:rsidRPr="00BE0705">
              <w:t>KS 1884-5:2009</w:t>
            </w:r>
          </w:p>
        </w:tc>
        <w:tc>
          <w:tcPr>
            <w:tcW w:w="1710" w:type="dxa"/>
            <w:tcBorders>
              <w:top w:val="single" w:sz="4" w:space="0" w:color="auto"/>
              <w:left w:val="single" w:sz="4" w:space="0" w:color="auto"/>
              <w:bottom w:val="single" w:sz="4" w:space="0" w:color="auto"/>
              <w:right w:val="single" w:sz="4" w:space="0" w:color="auto"/>
            </w:tcBorders>
          </w:tcPr>
          <w:p w14:paraId="5E387504"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6EDF3EB"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1B35390"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99A94F"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1D01080E" w14:textId="77777777" w:rsidR="00320F9B" w:rsidRDefault="00320F9B" w:rsidP="00320F9B">
            <w:pPr>
              <w:rPr>
                <w:rFonts w:ascii="Calibri" w:hAnsi="Calibri"/>
                <w:color w:val="000000"/>
                <w:sz w:val="22"/>
                <w:szCs w:val="22"/>
              </w:rPr>
            </w:pPr>
          </w:p>
        </w:tc>
      </w:tr>
      <w:tr w:rsidR="00320F9B" w14:paraId="1AEAAF65"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2308E3E8"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71C12CD" w14:textId="77777777" w:rsidR="00320F9B" w:rsidRPr="00BE0705" w:rsidRDefault="00320F9B" w:rsidP="00320F9B">
            <w:r w:rsidRPr="00BE0705">
              <w:t>KS 1885:2009</w:t>
            </w:r>
          </w:p>
        </w:tc>
        <w:tc>
          <w:tcPr>
            <w:tcW w:w="1710" w:type="dxa"/>
            <w:tcBorders>
              <w:top w:val="single" w:sz="4" w:space="0" w:color="auto"/>
              <w:left w:val="single" w:sz="4" w:space="0" w:color="auto"/>
              <w:bottom w:val="single" w:sz="4" w:space="0" w:color="auto"/>
              <w:right w:val="single" w:sz="4" w:space="0" w:color="auto"/>
            </w:tcBorders>
          </w:tcPr>
          <w:p w14:paraId="7B09FBF0"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913329A"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0892713"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ACB150"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41B0064" w14:textId="77777777" w:rsidR="00320F9B" w:rsidRDefault="00320F9B" w:rsidP="00320F9B">
            <w:pPr>
              <w:rPr>
                <w:rFonts w:ascii="Calibri" w:hAnsi="Calibri"/>
                <w:color w:val="000000"/>
                <w:sz w:val="22"/>
                <w:szCs w:val="22"/>
              </w:rPr>
            </w:pPr>
          </w:p>
        </w:tc>
      </w:tr>
      <w:tr w:rsidR="00320F9B" w14:paraId="49B163D7"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38577438"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126539" w14:textId="77777777" w:rsidR="00320F9B" w:rsidRPr="00BE0705" w:rsidRDefault="00320F9B" w:rsidP="00320F9B">
            <w:r w:rsidRPr="00BE0705">
              <w:t>KS 1893-1:2009</w:t>
            </w:r>
          </w:p>
        </w:tc>
        <w:tc>
          <w:tcPr>
            <w:tcW w:w="1710" w:type="dxa"/>
            <w:tcBorders>
              <w:top w:val="single" w:sz="4" w:space="0" w:color="auto"/>
              <w:left w:val="single" w:sz="4" w:space="0" w:color="auto"/>
              <w:bottom w:val="single" w:sz="4" w:space="0" w:color="auto"/>
              <w:right w:val="single" w:sz="4" w:space="0" w:color="auto"/>
            </w:tcBorders>
          </w:tcPr>
          <w:p w14:paraId="72C1E178"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2F3A76A"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86A59DD"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3062A49"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6E90F26E" w14:textId="77777777" w:rsidR="00320F9B" w:rsidRDefault="00320F9B" w:rsidP="00320F9B">
            <w:pPr>
              <w:rPr>
                <w:rFonts w:ascii="Calibri" w:hAnsi="Calibri"/>
                <w:color w:val="000000"/>
                <w:sz w:val="22"/>
                <w:szCs w:val="22"/>
              </w:rPr>
            </w:pPr>
          </w:p>
        </w:tc>
      </w:tr>
      <w:tr w:rsidR="00320F9B" w14:paraId="1C29A11C"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35500EF1"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59F33D" w14:textId="77777777" w:rsidR="00320F9B" w:rsidRPr="00BE0705" w:rsidRDefault="00320F9B" w:rsidP="00320F9B">
            <w:r w:rsidRPr="00BE0705">
              <w:t>KS 1893-2:2009</w:t>
            </w:r>
          </w:p>
        </w:tc>
        <w:tc>
          <w:tcPr>
            <w:tcW w:w="1710" w:type="dxa"/>
            <w:tcBorders>
              <w:top w:val="single" w:sz="4" w:space="0" w:color="auto"/>
              <w:left w:val="single" w:sz="4" w:space="0" w:color="auto"/>
              <w:bottom w:val="single" w:sz="4" w:space="0" w:color="auto"/>
              <w:right w:val="single" w:sz="4" w:space="0" w:color="auto"/>
            </w:tcBorders>
          </w:tcPr>
          <w:p w14:paraId="24D55423"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709888D"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3C847CA"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76DD90"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C1E943C" w14:textId="77777777" w:rsidR="00320F9B" w:rsidRDefault="00320F9B" w:rsidP="00320F9B">
            <w:pPr>
              <w:rPr>
                <w:rFonts w:ascii="Calibri" w:hAnsi="Calibri"/>
                <w:color w:val="000000"/>
                <w:sz w:val="22"/>
                <w:szCs w:val="22"/>
              </w:rPr>
            </w:pPr>
          </w:p>
        </w:tc>
      </w:tr>
      <w:tr w:rsidR="00320F9B" w14:paraId="0AAFB52E"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04166473"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A1848DF" w14:textId="77777777" w:rsidR="00320F9B" w:rsidRPr="00BE0705" w:rsidRDefault="00320F9B" w:rsidP="00320F9B">
            <w:r w:rsidRPr="00BE0705">
              <w:t>KS 1894-1:2009</w:t>
            </w:r>
          </w:p>
        </w:tc>
        <w:tc>
          <w:tcPr>
            <w:tcW w:w="1710" w:type="dxa"/>
            <w:tcBorders>
              <w:top w:val="single" w:sz="4" w:space="0" w:color="auto"/>
              <w:left w:val="single" w:sz="4" w:space="0" w:color="auto"/>
              <w:bottom w:val="single" w:sz="4" w:space="0" w:color="auto"/>
              <w:right w:val="single" w:sz="4" w:space="0" w:color="auto"/>
            </w:tcBorders>
          </w:tcPr>
          <w:p w14:paraId="40B07C96"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DA85DB5"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F1FD314"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2F17671"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4598E2A" w14:textId="77777777" w:rsidR="00320F9B" w:rsidRDefault="00320F9B" w:rsidP="00320F9B">
            <w:pPr>
              <w:rPr>
                <w:rFonts w:ascii="Calibri" w:hAnsi="Calibri"/>
                <w:color w:val="000000"/>
                <w:sz w:val="22"/>
                <w:szCs w:val="22"/>
              </w:rPr>
            </w:pPr>
          </w:p>
        </w:tc>
      </w:tr>
      <w:tr w:rsidR="00320F9B" w14:paraId="7A785CDB"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11C669F9"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DC3B25" w14:textId="77777777" w:rsidR="00320F9B" w:rsidRPr="00BE0705" w:rsidRDefault="00320F9B" w:rsidP="00320F9B">
            <w:r w:rsidRPr="00BE0705">
              <w:t>KS 1894-2:2009</w:t>
            </w:r>
          </w:p>
        </w:tc>
        <w:tc>
          <w:tcPr>
            <w:tcW w:w="1710" w:type="dxa"/>
            <w:tcBorders>
              <w:top w:val="single" w:sz="4" w:space="0" w:color="auto"/>
              <w:left w:val="single" w:sz="4" w:space="0" w:color="auto"/>
              <w:bottom w:val="single" w:sz="4" w:space="0" w:color="auto"/>
              <w:right w:val="single" w:sz="4" w:space="0" w:color="auto"/>
            </w:tcBorders>
          </w:tcPr>
          <w:p w14:paraId="32D5AB12"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10A6F5"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BE1E189"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96517D"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8C0E0AE" w14:textId="77777777" w:rsidR="00320F9B" w:rsidRDefault="00320F9B" w:rsidP="00320F9B">
            <w:pPr>
              <w:rPr>
                <w:rFonts w:ascii="Calibri" w:hAnsi="Calibri"/>
                <w:color w:val="000000"/>
                <w:sz w:val="22"/>
                <w:szCs w:val="22"/>
              </w:rPr>
            </w:pPr>
          </w:p>
        </w:tc>
      </w:tr>
      <w:tr w:rsidR="00320F9B" w14:paraId="2FE87360"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768F421B"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0E7EC15" w14:textId="77777777" w:rsidR="00320F9B" w:rsidRPr="00BE0705" w:rsidRDefault="00320F9B" w:rsidP="00320F9B">
            <w:r w:rsidRPr="00BE0705">
              <w:t>KS 1896:2009</w:t>
            </w:r>
          </w:p>
        </w:tc>
        <w:tc>
          <w:tcPr>
            <w:tcW w:w="1710" w:type="dxa"/>
            <w:tcBorders>
              <w:top w:val="single" w:sz="4" w:space="0" w:color="auto"/>
              <w:left w:val="single" w:sz="4" w:space="0" w:color="auto"/>
              <w:bottom w:val="single" w:sz="4" w:space="0" w:color="auto"/>
              <w:right w:val="single" w:sz="4" w:space="0" w:color="auto"/>
            </w:tcBorders>
          </w:tcPr>
          <w:p w14:paraId="0C58DF96"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8863E01"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1059543"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3C1092"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15473B9" w14:textId="77777777" w:rsidR="00320F9B" w:rsidRDefault="00320F9B" w:rsidP="00320F9B">
            <w:pPr>
              <w:rPr>
                <w:rFonts w:ascii="Calibri" w:hAnsi="Calibri"/>
                <w:color w:val="000000"/>
                <w:sz w:val="22"/>
                <w:szCs w:val="22"/>
              </w:rPr>
            </w:pPr>
          </w:p>
        </w:tc>
      </w:tr>
      <w:tr w:rsidR="00320F9B" w14:paraId="072D7D25"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039EE453"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A9EB58" w14:textId="77777777" w:rsidR="00320F9B" w:rsidRPr="00BE0705" w:rsidRDefault="00320F9B" w:rsidP="00320F9B">
            <w:r w:rsidRPr="00BE0705">
              <w:t>KS 1897:2009</w:t>
            </w:r>
          </w:p>
        </w:tc>
        <w:tc>
          <w:tcPr>
            <w:tcW w:w="1710" w:type="dxa"/>
            <w:tcBorders>
              <w:top w:val="single" w:sz="4" w:space="0" w:color="auto"/>
              <w:left w:val="single" w:sz="4" w:space="0" w:color="auto"/>
              <w:bottom w:val="single" w:sz="4" w:space="0" w:color="auto"/>
              <w:right w:val="single" w:sz="4" w:space="0" w:color="auto"/>
            </w:tcBorders>
          </w:tcPr>
          <w:p w14:paraId="6EB6425E"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11D0137"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0C4841B"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0CD393"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4D1DB174" w14:textId="77777777" w:rsidR="00320F9B" w:rsidRDefault="00320F9B" w:rsidP="00320F9B">
            <w:pPr>
              <w:rPr>
                <w:rFonts w:ascii="Calibri" w:hAnsi="Calibri"/>
                <w:color w:val="000000"/>
                <w:sz w:val="22"/>
                <w:szCs w:val="22"/>
              </w:rPr>
            </w:pPr>
          </w:p>
        </w:tc>
      </w:tr>
      <w:tr w:rsidR="00320F9B" w14:paraId="20952122"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7726AB49"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1860E3A" w14:textId="77777777" w:rsidR="00320F9B" w:rsidRPr="00BE0705" w:rsidRDefault="00320F9B" w:rsidP="00320F9B">
            <w:r w:rsidRPr="00BE0705">
              <w:t>KS 1904:2009</w:t>
            </w:r>
          </w:p>
        </w:tc>
        <w:tc>
          <w:tcPr>
            <w:tcW w:w="1710" w:type="dxa"/>
            <w:tcBorders>
              <w:top w:val="single" w:sz="4" w:space="0" w:color="auto"/>
              <w:left w:val="single" w:sz="4" w:space="0" w:color="auto"/>
              <w:bottom w:val="single" w:sz="4" w:space="0" w:color="auto"/>
              <w:right w:val="single" w:sz="4" w:space="0" w:color="auto"/>
            </w:tcBorders>
          </w:tcPr>
          <w:p w14:paraId="2EDC808B"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C3C142F"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7DF380D"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76108F"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6165FC83" w14:textId="77777777" w:rsidR="00320F9B" w:rsidRDefault="00320F9B" w:rsidP="00320F9B">
            <w:pPr>
              <w:rPr>
                <w:rFonts w:ascii="Calibri" w:hAnsi="Calibri"/>
                <w:color w:val="000000"/>
                <w:sz w:val="22"/>
                <w:szCs w:val="22"/>
              </w:rPr>
            </w:pPr>
          </w:p>
        </w:tc>
      </w:tr>
      <w:tr w:rsidR="00320F9B" w14:paraId="35BF2543" w14:textId="77777777" w:rsidTr="00320F9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877" w:type="dxa"/>
            <w:tcBorders>
              <w:top w:val="single" w:sz="4" w:space="0" w:color="auto"/>
              <w:left w:val="single" w:sz="4" w:space="0" w:color="auto"/>
              <w:bottom w:val="single" w:sz="4" w:space="0" w:color="auto"/>
              <w:right w:val="single" w:sz="4" w:space="0" w:color="auto"/>
            </w:tcBorders>
          </w:tcPr>
          <w:p w14:paraId="1424CC47" w14:textId="77777777" w:rsidR="00320F9B" w:rsidRPr="00320F9B" w:rsidRDefault="00320F9B" w:rsidP="00320F9B">
            <w:pPr>
              <w:pStyle w:val="ListParagraph"/>
              <w:numPr>
                <w:ilvl w:val="0"/>
                <w:numId w:val="55"/>
              </w:numPr>
              <w:rPr>
                <w:rFonts w:ascii="Calibri" w:hAnsi="Calibri"/>
                <w:color w:val="000000"/>
                <w:sz w:val="22"/>
                <w:szCs w:val="22"/>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BD78BD" w14:textId="77777777" w:rsidR="00320F9B" w:rsidRDefault="00320F9B" w:rsidP="00320F9B">
            <w:r w:rsidRPr="00BE0705">
              <w:t>KS 1901:2009</w:t>
            </w:r>
          </w:p>
        </w:tc>
        <w:tc>
          <w:tcPr>
            <w:tcW w:w="1710" w:type="dxa"/>
            <w:tcBorders>
              <w:top w:val="single" w:sz="4" w:space="0" w:color="auto"/>
              <w:left w:val="single" w:sz="4" w:space="0" w:color="auto"/>
              <w:bottom w:val="single" w:sz="4" w:space="0" w:color="auto"/>
              <w:right w:val="single" w:sz="4" w:space="0" w:color="auto"/>
            </w:tcBorders>
          </w:tcPr>
          <w:p w14:paraId="19CDC64D" w14:textId="77777777" w:rsidR="00320F9B" w:rsidRDefault="00320F9B" w:rsidP="00320F9B">
            <w:pPr>
              <w:rPr>
                <w:rFonts w:ascii="Calibri" w:hAnsi="Calibri"/>
                <w:color w:val="00000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63D3112" w14:textId="77777777" w:rsidR="00320F9B" w:rsidRDefault="00320F9B" w:rsidP="00320F9B">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49042BF" w14:textId="77777777" w:rsidR="00320F9B" w:rsidRDefault="00320F9B" w:rsidP="00320F9B">
            <w:pPr>
              <w:rPr>
                <w:rFonts w:ascii="Calibri" w:hAnsi="Calibri"/>
                <w:color w:val="000000"/>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5D96F7" w14:textId="77777777" w:rsidR="00320F9B" w:rsidRDefault="00320F9B" w:rsidP="00320F9B">
            <w:pPr>
              <w:rPr>
                <w:rFonts w:ascii="Calibri" w:hAnsi="Calibri"/>
                <w:color w:val="000000"/>
                <w:sz w:val="22"/>
                <w:szCs w:val="22"/>
              </w:rPr>
            </w:pP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6A756C0D" w14:textId="77777777" w:rsidR="00320F9B" w:rsidRDefault="00320F9B" w:rsidP="00320F9B">
            <w:pPr>
              <w:rPr>
                <w:rFonts w:ascii="Calibri" w:hAnsi="Calibri"/>
                <w:color w:val="000000"/>
                <w:sz w:val="22"/>
                <w:szCs w:val="22"/>
              </w:rPr>
            </w:pPr>
          </w:p>
        </w:tc>
      </w:tr>
    </w:tbl>
    <w:p w14:paraId="01053C75" w14:textId="77777777" w:rsidR="00B44C09" w:rsidRDefault="00B44C09" w:rsidP="00B44C09">
      <w:pPr>
        <w:autoSpaceDE w:val="0"/>
        <w:autoSpaceDN w:val="0"/>
        <w:adjustRightInd w:val="0"/>
        <w:jc w:val="left"/>
        <w:rPr>
          <w:rFonts w:ascii="Arial" w:hAnsi="Arial" w:cs="Arial"/>
          <w:sz w:val="20"/>
        </w:rPr>
      </w:pPr>
    </w:p>
    <w:p w14:paraId="40ED0210" w14:textId="77777777" w:rsidR="00B44C09" w:rsidRDefault="00B44C09" w:rsidP="00B44C09">
      <w:pPr>
        <w:spacing w:before="0" w:after="0"/>
        <w:jc w:val="left"/>
        <w:rPr>
          <w:rFonts w:ascii="Arial" w:hAnsi="Arial" w:cs="Arial"/>
          <w:b/>
          <w:sz w:val="20"/>
          <w:szCs w:val="20"/>
        </w:rPr>
      </w:pPr>
    </w:p>
    <w:p w14:paraId="5F74E412" w14:textId="77777777"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14:paraId="225E7E0D" w14:textId="77777777" w:rsidR="00FB0305" w:rsidRDefault="00FB0305" w:rsidP="00FB0305">
      <w:pPr>
        <w:autoSpaceDE w:val="0"/>
        <w:autoSpaceDN w:val="0"/>
        <w:adjustRightInd w:val="0"/>
        <w:rPr>
          <w:rFonts w:ascii="Arial" w:hAnsi="Arial" w:cs="Arial"/>
          <w:sz w:val="20"/>
          <w:szCs w:val="20"/>
        </w:rPr>
      </w:pPr>
    </w:p>
    <w:p w14:paraId="1E1687B3" w14:textId="77777777"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14:paraId="6160A2BC" w14:textId="77777777" w:rsidR="00FB0305" w:rsidRDefault="00FB0305" w:rsidP="00FB0305">
      <w:pPr>
        <w:tabs>
          <w:tab w:val="right" w:leader="dot" w:pos="9000"/>
        </w:tabs>
        <w:autoSpaceDE w:val="0"/>
        <w:autoSpaceDN w:val="0"/>
        <w:adjustRightInd w:val="0"/>
        <w:rPr>
          <w:rFonts w:ascii="Arial" w:hAnsi="Arial" w:cs="Arial"/>
          <w:sz w:val="20"/>
          <w:szCs w:val="20"/>
        </w:rPr>
      </w:pPr>
    </w:p>
    <w:p w14:paraId="534FF5CA" w14:textId="77777777"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3D952B03" w14:textId="77777777" w:rsidR="00FB0305" w:rsidRDefault="00FB0305" w:rsidP="00FB0305">
      <w:pPr>
        <w:tabs>
          <w:tab w:val="right" w:leader="dot" w:pos="9000"/>
        </w:tabs>
        <w:autoSpaceDE w:val="0"/>
        <w:autoSpaceDN w:val="0"/>
        <w:adjustRightInd w:val="0"/>
        <w:rPr>
          <w:rFonts w:ascii="Arial" w:hAnsi="Arial" w:cs="Arial"/>
          <w:sz w:val="20"/>
          <w:szCs w:val="20"/>
        </w:rPr>
      </w:pPr>
    </w:p>
    <w:p w14:paraId="1E9FE9C2" w14:textId="77777777"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14:paraId="77D77EE1" w14:textId="77777777" w:rsidR="00B44C09" w:rsidRDefault="00B44C09" w:rsidP="00B44C09">
      <w:pPr>
        <w:tabs>
          <w:tab w:val="right" w:leader="dot" w:pos="3600"/>
        </w:tabs>
        <w:autoSpaceDE w:val="0"/>
        <w:autoSpaceDN w:val="0"/>
        <w:adjustRightInd w:val="0"/>
        <w:rPr>
          <w:rFonts w:ascii="Arial" w:hAnsi="Arial" w:cs="Arial"/>
          <w:b/>
          <w:bCs/>
          <w:sz w:val="20"/>
          <w:szCs w:val="20"/>
        </w:rPr>
      </w:pPr>
    </w:p>
    <w:p w14:paraId="212B81EA" w14:textId="77777777" w:rsidR="00AB181B" w:rsidRDefault="00AB181B" w:rsidP="0017389A">
      <w:pPr>
        <w:tabs>
          <w:tab w:val="right" w:leader="dot" w:pos="3600"/>
        </w:tabs>
        <w:autoSpaceDE w:val="0"/>
        <w:autoSpaceDN w:val="0"/>
        <w:adjustRightInd w:val="0"/>
        <w:rPr>
          <w:rFonts w:ascii="Arial" w:hAnsi="Arial" w:cs="Arial"/>
          <w:b/>
          <w:bCs/>
          <w:color w:val="000000"/>
          <w:sz w:val="20"/>
          <w:szCs w:val="20"/>
        </w:rPr>
      </w:pPr>
    </w:p>
    <w:sectPr w:rsidR="00AB181B" w:rsidSect="00B44C09">
      <w:footerReference w:type="default" r:id="rId12"/>
      <w:headerReference w:type="first" r:id="rId13"/>
      <w:footerReference w:type="first" r:id="rId14"/>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A988B" w14:textId="77777777" w:rsidR="00ED2531" w:rsidRDefault="00ED2531">
      <w:r>
        <w:separator/>
      </w:r>
    </w:p>
  </w:endnote>
  <w:endnote w:type="continuationSeparator" w:id="0">
    <w:p w14:paraId="6AFACD88" w14:textId="77777777" w:rsidR="00ED2531" w:rsidRDefault="00ED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9D44" w14:textId="5BBC7E35" w:rsidR="00AC61D9" w:rsidRPr="00AD196F" w:rsidRDefault="00AD196F">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sidR="00AB03FF">
      <w:rPr>
        <w:rFonts w:ascii="Arial Narrow" w:hAnsi="Arial Narrow"/>
        <w:b/>
        <w:bCs/>
        <w:noProof/>
      </w:rPr>
      <w:t>1</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sidR="00AB03FF">
      <w:rPr>
        <w:rFonts w:ascii="Arial Narrow" w:hAnsi="Arial Narrow"/>
        <w:b/>
        <w:bCs/>
        <w:noProof/>
      </w:rPr>
      <w:t>3</w:t>
    </w:r>
    <w:r w:rsidRPr="00AD196F">
      <w:rPr>
        <w:rFonts w:ascii="Arial Narrow" w:hAnsi="Arial Narrow"/>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8484C" w14:textId="299394C5" w:rsidR="00AD196F" w:rsidRPr="00AD196F" w:rsidRDefault="00AD196F">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sidR="00AB03FF">
      <w:rPr>
        <w:rFonts w:ascii="Arial Narrow" w:hAnsi="Arial Narrow"/>
        <w:b/>
        <w:bCs/>
        <w:noProof/>
      </w:rPr>
      <w:t>2</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sidR="00AB03FF">
      <w:rPr>
        <w:rFonts w:ascii="Arial Narrow" w:hAnsi="Arial Narrow"/>
        <w:b/>
        <w:bCs/>
        <w:noProof/>
      </w:rPr>
      <w:t>2</w:t>
    </w:r>
    <w:r w:rsidRPr="00AD196F">
      <w:rPr>
        <w:rFonts w:ascii="Arial Narrow" w:hAnsi="Arial Narrow"/>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9285" w14:textId="5D4C7619" w:rsidR="00AD196F" w:rsidRPr="00AD196F" w:rsidRDefault="00AD196F">
    <w:pPr>
      <w:pStyle w:val="Footer"/>
      <w:rPr>
        <w:rFonts w:ascii="Arial Narrow" w:hAnsi="Arial Narrow"/>
      </w:rPr>
    </w:pPr>
    <w:r w:rsidRPr="00AD196F">
      <w:rPr>
        <w:rFonts w:ascii="Arial Narrow" w:hAnsi="Arial Narrow"/>
        <w:color w:val="7F7F7F" w:themeColor="background1" w:themeShade="7F"/>
        <w:spacing w:val="60"/>
      </w:rPr>
      <w:t>Page</w:t>
    </w:r>
    <w:r w:rsidRPr="00AD196F">
      <w:rPr>
        <w:rFonts w:ascii="Arial Narrow" w:hAnsi="Arial Narrow"/>
      </w:rPr>
      <w:t xml:space="preserve"> | </w:t>
    </w:r>
    <w:r w:rsidRPr="00AD196F">
      <w:rPr>
        <w:rFonts w:ascii="Arial Narrow" w:hAnsi="Arial Narrow"/>
        <w:b/>
        <w:bCs/>
        <w:noProof/>
      </w:rPr>
      <w:fldChar w:fldCharType="begin"/>
    </w:r>
    <w:r w:rsidRPr="00AD196F">
      <w:rPr>
        <w:rFonts w:ascii="Arial Narrow" w:hAnsi="Arial Narrow"/>
        <w:b/>
        <w:bCs/>
        <w:noProof/>
      </w:rPr>
      <w:instrText xml:space="preserve"> PAGE  \* Arabic  \* MERGEFORMAT </w:instrText>
    </w:r>
    <w:r w:rsidRPr="00AD196F">
      <w:rPr>
        <w:rFonts w:ascii="Arial Narrow" w:hAnsi="Arial Narrow"/>
        <w:b/>
        <w:bCs/>
        <w:noProof/>
      </w:rPr>
      <w:fldChar w:fldCharType="separate"/>
    </w:r>
    <w:r w:rsidR="00AB03FF">
      <w:rPr>
        <w:rFonts w:ascii="Arial Narrow" w:hAnsi="Arial Narrow"/>
        <w:b/>
        <w:bCs/>
        <w:noProof/>
      </w:rPr>
      <w:t>1</w:t>
    </w:r>
    <w:r w:rsidRPr="00AD196F">
      <w:rPr>
        <w:rFonts w:ascii="Arial Narrow" w:hAnsi="Arial Narrow"/>
        <w:b/>
        <w:bCs/>
        <w:noProof/>
      </w:rPr>
      <w:fldChar w:fldCharType="end"/>
    </w:r>
    <w:r w:rsidRPr="00AD196F">
      <w:rPr>
        <w:rFonts w:ascii="Arial Narrow" w:hAnsi="Arial Narrow"/>
        <w:b/>
        <w:bCs/>
        <w:noProof/>
      </w:rPr>
      <w:t xml:space="preserve"> of </w:t>
    </w:r>
    <w:r w:rsidRPr="00AD196F">
      <w:rPr>
        <w:rFonts w:ascii="Arial Narrow" w:hAnsi="Arial Narrow"/>
        <w:b/>
        <w:bCs/>
        <w:noProof/>
      </w:rPr>
      <w:fldChar w:fldCharType="begin"/>
    </w:r>
    <w:r w:rsidRPr="00AD196F">
      <w:rPr>
        <w:rFonts w:ascii="Arial Narrow" w:hAnsi="Arial Narrow"/>
        <w:b/>
        <w:bCs/>
        <w:noProof/>
      </w:rPr>
      <w:instrText xml:space="preserve"> SECTIONPAGES   \* MERGEFORMAT </w:instrText>
    </w:r>
    <w:r w:rsidRPr="00AD196F">
      <w:rPr>
        <w:rFonts w:ascii="Arial Narrow" w:hAnsi="Arial Narrow"/>
        <w:b/>
        <w:bCs/>
        <w:noProof/>
      </w:rPr>
      <w:fldChar w:fldCharType="separate"/>
    </w:r>
    <w:r w:rsidR="00AB03FF">
      <w:rPr>
        <w:rFonts w:ascii="Arial Narrow" w:hAnsi="Arial Narrow"/>
        <w:b/>
        <w:bCs/>
        <w:noProof/>
      </w:rPr>
      <w:t>2</w:t>
    </w:r>
    <w:r w:rsidRPr="00AD196F">
      <w:rPr>
        <w:rFonts w:ascii="Arial Narrow" w:hAnsi="Arial Narrow"/>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9E689" w14:textId="77777777" w:rsidR="00ED2531" w:rsidRDefault="00ED2531">
      <w:r>
        <w:separator/>
      </w:r>
    </w:p>
  </w:footnote>
  <w:footnote w:type="continuationSeparator" w:id="0">
    <w:p w14:paraId="143DF708" w14:textId="77777777" w:rsidR="00ED2531" w:rsidRDefault="00ED2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6029"/>
      <w:gridCol w:w="6030"/>
    </w:tblGrid>
    <w:tr w:rsidR="00AC61D9" w:rsidRPr="00AC61D9" w14:paraId="1D69FE4E" w14:textId="77777777" w:rsidTr="00AC61D9">
      <w:trPr>
        <w:trHeight w:val="368"/>
      </w:trPr>
      <w:tc>
        <w:tcPr>
          <w:tcW w:w="2137" w:type="dxa"/>
          <w:tcBorders>
            <w:top w:val="single" w:sz="4" w:space="0" w:color="auto"/>
            <w:left w:val="single" w:sz="4" w:space="0" w:color="auto"/>
            <w:bottom w:val="single" w:sz="4" w:space="0" w:color="auto"/>
            <w:right w:val="single" w:sz="4" w:space="0" w:color="auto"/>
          </w:tcBorders>
        </w:tcPr>
        <w:p w14:paraId="626EAE15" w14:textId="77777777" w:rsidR="00AC61D9" w:rsidRPr="00AC61D9" w:rsidRDefault="00AC61D9" w:rsidP="00AC61D9">
          <w:pPr>
            <w:tabs>
              <w:tab w:val="center" w:pos="4320"/>
              <w:tab w:val="right" w:pos="8640"/>
            </w:tabs>
            <w:rPr>
              <w:rFonts w:ascii="Arial Narrow" w:hAnsi="Arial Narrow" w:cs="Arial"/>
              <w:b/>
            </w:rPr>
          </w:pPr>
          <w:r w:rsidRPr="00AC61D9">
            <w:rPr>
              <w:rFonts w:ascii="Arial Narrow" w:hAnsi="Arial Narrow" w:cs="Arial"/>
              <w:b/>
            </w:rPr>
            <w:t>Dates:</w:t>
          </w:r>
        </w:p>
      </w:tc>
      <w:tc>
        <w:tcPr>
          <w:tcW w:w="6029" w:type="dxa"/>
          <w:tcBorders>
            <w:top w:val="single" w:sz="4" w:space="0" w:color="auto"/>
            <w:left w:val="single" w:sz="4" w:space="0" w:color="auto"/>
            <w:bottom w:val="single" w:sz="4" w:space="0" w:color="auto"/>
            <w:right w:val="single" w:sz="4" w:space="0" w:color="auto"/>
          </w:tcBorders>
        </w:tcPr>
        <w:p w14:paraId="4B194308" w14:textId="77777777" w:rsidR="00AC61D9" w:rsidRPr="00AC61D9" w:rsidRDefault="00AC61D9" w:rsidP="00AC61D9">
          <w:pPr>
            <w:tabs>
              <w:tab w:val="center" w:pos="4320"/>
              <w:tab w:val="right" w:pos="8640"/>
            </w:tabs>
            <w:jc w:val="right"/>
            <w:rPr>
              <w:rFonts w:ascii="Arial Narrow" w:hAnsi="Arial Narrow" w:cs="Arial"/>
            </w:rPr>
          </w:pPr>
          <w:r w:rsidRPr="00AC61D9">
            <w:rPr>
              <w:rFonts w:ascii="Arial Narrow" w:hAnsi="Arial Narrow" w:cs="Arial"/>
              <w:b/>
            </w:rPr>
            <w:t>Circulation date</w:t>
          </w:r>
          <w:r>
            <w:rPr>
              <w:rFonts w:ascii="Arial Narrow" w:hAnsi="Arial Narrow" w:cs="Arial"/>
            </w:rPr>
            <w:t>: 2021</w:t>
          </w:r>
          <w:r w:rsidRPr="00AC61D9">
            <w:rPr>
              <w:rFonts w:ascii="Arial Narrow" w:hAnsi="Arial Narrow" w:cs="Arial"/>
            </w:rPr>
            <w:t>-0</w:t>
          </w:r>
          <w:r>
            <w:rPr>
              <w:rFonts w:ascii="Arial Narrow" w:hAnsi="Arial Narrow" w:cs="Arial"/>
            </w:rPr>
            <w:t>2</w:t>
          </w:r>
          <w:r w:rsidRPr="00AC61D9">
            <w:rPr>
              <w:rFonts w:ascii="Arial Narrow" w:hAnsi="Arial Narrow" w:cs="Arial"/>
            </w:rPr>
            <w:t>-</w:t>
          </w:r>
          <w:r>
            <w:rPr>
              <w:rFonts w:ascii="Arial Narrow" w:hAnsi="Arial Narrow" w:cs="Arial"/>
            </w:rPr>
            <w:t>24</w:t>
          </w:r>
        </w:p>
      </w:tc>
      <w:tc>
        <w:tcPr>
          <w:tcW w:w="6030" w:type="dxa"/>
          <w:tcBorders>
            <w:top w:val="single" w:sz="4" w:space="0" w:color="auto"/>
            <w:left w:val="single" w:sz="4" w:space="0" w:color="auto"/>
            <w:bottom w:val="single" w:sz="4" w:space="0" w:color="auto"/>
            <w:right w:val="single" w:sz="4" w:space="0" w:color="auto"/>
          </w:tcBorders>
        </w:tcPr>
        <w:p w14:paraId="232D56DC" w14:textId="77777777" w:rsidR="00AC61D9" w:rsidRPr="00AC61D9" w:rsidRDefault="00AC61D9" w:rsidP="00C32884">
          <w:pPr>
            <w:tabs>
              <w:tab w:val="center" w:pos="4320"/>
              <w:tab w:val="right" w:pos="8640"/>
            </w:tabs>
            <w:jc w:val="right"/>
            <w:rPr>
              <w:rFonts w:ascii="Arial Narrow" w:hAnsi="Arial Narrow" w:cs="Arial"/>
            </w:rPr>
          </w:pPr>
          <w:r w:rsidRPr="00AC61D9">
            <w:rPr>
              <w:rFonts w:ascii="Arial Narrow" w:hAnsi="Arial Narrow" w:cs="Arial"/>
              <w:b/>
            </w:rPr>
            <w:t>Closing date</w:t>
          </w:r>
          <w:r w:rsidRPr="00AC61D9">
            <w:rPr>
              <w:rFonts w:ascii="Arial Narrow" w:hAnsi="Arial Narrow" w:cs="Arial"/>
            </w:rPr>
            <w:t xml:space="preserve">: </w:t>
          </w:r>
          <w:r>
            <w:rPr>
              <w:rFonts w:ascii="Arial Narrow" w:hAnsi="Arial Narrow" w:cs="Arial"/>
            </w:rPr>
            <w:t>2021</w:t>
          </w:r>
          <w:r w:rsidRPr="00AC61D9">
            <w:rPr>
              <w:rFonts w:ascii="Arial Narrow" w:hAnsi="Arial Narrow" w:cs="Arial"/>
            </w:rPr>
            <w:t>-</w:t>
          </w:r>
          <w:r>
            <w:rPr>
              <w:rFonts w:ascii="Arial Narrow" w:hAnsi="Arial Narrow" w:cs="Arial"/>
            </w:rPr>
            <w:t>03</w:t>
          </w:r>
          <w:r w:rsidRPr="00AC61D9">
            <w:rPr>
              <w:rFonts w:ascii="Arial Narrow" w:hAnsi="Arial Narrow" w:cs="Arial"/>
            </w:rPr>
            <w:t>-</w:t>
          </w:r>
          <w:r w:rsidR="00C32884">
            <w:rPr>
              <w:rFonts w:ascii="Arial Narrow" w:hAnsi="Arial Narrow" w:cs="Arial"/>
            </w:rPr>
            <w:t>25</w:t>
          </w:r>
        </w:p>
      </w:tc>
    </w:tr>
    <w:tr w:rsidR="00AC61D9" w:rsidRPr="00AC61D9" w14:paraId="66D3E32A" w14:textId="77777777" w:rsidTr="00AC61D9">
      <w:trPr>
        <w:trHeight w:val="368"/>
      </w:trPr>
      <w:tc>
        <w:tcPr>
          <w:tcW w:w="2137" w:type="dxa"/>
          <w:tcBorders>
            <w:top w:val="single" w:sz="4" w:space="0" w:color="auto"/>
            <w:left w:val="single" w:sz="4" w:space="0" w:color="auto"/>
            <w:bottom w:val="single" w:sz="4" w:space="0" w:color="auto"/>
            <w:right w:val="single" w:sz="4" w:space="0" w:color="auto"/>
          </w:tcBorders>
        </w:tcPr>
        <w:p w14:paraId="064DBBA6" w14:textId="77777777" w:rsidR="00AC61D9" w:rsidRPr="00AC61D9" w:rsidRDefault="00AC61D9" w:rsidP="00AC61D9">
          <w:pPr>
            <w:rPr>
              <w:rFonts w:ascii="Arial Narrow" w:hAnsi="Arial Narrow"/>
              <w:b/>
            </w:rPr>
          </w:pPr>
          <w:r w:rsidRPr="00AC61D9">
            <w:rPr>
              <w:rFonts w:ascii="Arial Narrow" w:hAnsi="Arial Narrow"/>
              <w:b/>
            </w:rPr>
            <w:t>TC Secretary</w:t>
          </w:r>
        </w:p>
      </w:tc>
      <w:tc>
        <w:tcPr>
          <w:tcW w:w="12059" w:type="dxa"/>
          <w:gridSpan w:val="2"/>
          <w:tcBorders>
            <w:top w:val="single" w:sz="4" w:space="0" w:color="auto"/>
            <w:left w:val="single" w:sz="4" w:space="0" w:color="auto"/>
            <w:bottom w:val="single" w:sz="4" w:space="0" w:color="auto"/>
            <w:right w:val="single" w:sz="4" w:space="0" w:color="auto"/>
          </w:tcBorders>
        </w:tcPr>
        <w:p w14:paraId="6F248374" w14:textId="77777777" w:rsidR="00AC61D9" w:rsidRPr="00AC61D9" w:rsidRDefault="00AC61D9" w:rsidP="00AC61D9">
          <w:pPr>
            <w:rPr>
              <w:rFonts w:ascii="Arial Narrow" w:hAnsi="Arial Narrow"/>
            </w:rPr>
          </w:pPr>
          <w:r w:rsidRPr="00AC61D9">
            <w:rPr>
              <w:rFonts w:ascii="Arial Narrow" w:hAnsi="Arial Narrow"/>
            </w:rPr>
            <w:t xml:space="preserve">This form shall be filled, signed and returned to Kenya Bureau of Standards for the attention of </w:t>
          </w:r>
          <w:r>
            <w:rPr>
              <w:rFonts w:ascii="Arial Narrow" w:hAnsi="Arial Narrow"/>
            </w:rPr>
            <w:t>Zacheus Mwatha (zimwatha@kebs.org)</w:t>
          </w:r>
        </w:p>
      </w:tc>
    </w:tr>
  </w:tbl>
  <w:p w14:paraId="69BE9CFE" w14:textId="77777777" w:rsidR="00AC61D9" w:rsidRPr="00AC61D9" w:rsidRDefault="00AC61D9" w:rsidP="00AC61D9">
    <w:pPr>
      <w:autoSpaceDE w:val="0"/>
      <w:autoSpaceDN w:val="0"/>
      <w:adjustRightInd w:val="0"/>
      <w:jc w:val="right"/>
      <w:rPr>
        <w:rFonts w:ascii="Arial Narrow" w:hAnsi="Arial Narrow" w:cs="Arial"/>
        <w:b/>
        <w:bCs/>
      </w:rPr>
    </w:pPr>
    <w:r w:rsidRPr="00AC61D9">
      <w:rPr>
        <w:rFonts w:ascii="Arial Narrow" w:hAnsi="Arial Narrow" w:cs="Arial"/>
        <w:b/>
      </w:rPr>
      <w:t>Form CPR183/F17</w:t>
    </w:r>
  </w:p>
  <w:p w14:paraId="5099BB34" w14:textId="77777777" w:rsidR="00A57928" w:rsidRDefault="00A57928" w:rsidP="00AC61D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4D550C"/>
    <w:multiLevelType w:val="hybridMultilevel"/>
    <w:tmpl w:val="56CC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3"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9"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4"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5"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0"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1"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4"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6"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7"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0"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7"/>
  </w:num>
  <w:num w:numId="2">
    <w:abstractNumId w:val="45"/>
  </w:num>
  <w:num w:numId="3">
    <w:abstractNumId w:val="40"/>
  </w:num>
  <w:num w:numId="4">
    <w:abstractNumId w:val="2"/>
  </w:num>
  <w:num w:numId="5">
    <w:abstractNumId w:val="51"/>
  </w:num>
  <w:num w:numId="6">
    <w:abstractNumId w:val="34"/>
  </w:num>
  <w:num w:numId="7">
    <w:abstractNumId w:val="25"/>
  </w:num>
  <w:num w:numId="8">
    <w:abstractNumId w:val="24"/>
  </w:num>
  <w:num w:numId="9">
    <w:abstractNumId w:val="44"/>
  </w:num>
  <w:num w:numId="10">
    <w:abstractNumId w:val="21"/>
  </w:num>
  <w:num w:numId="11">
    <w:abstractNumId w:val="30"/>
  </w:num>
  <w:num w:numId="12">
    <w:abstractNumId w:val="33"/>
  </w:num>
  <w:num w:numId="13">
    <w:abstractNumId w:val="28"/>
  </w:num>
  <w:num w:numId="14">
    <w:abstractNumId w:val="8"/>
  </w:num>
  <w:num w:numId="15">
    <w:abstractNumId w:val="20"/>
  </w:num>
  <w:num w:numId="16">
    <w:abstractNumId w:val="27"/>
  </w:num>
  <w:num w:numId="17">
    <w:abstractNumId w:val="14"/>
  </w:num>
  <w:num w:numId="18">
    <w:abstractNumId w:val="36"/>
  </w:num>
  <w:num w:numId="19">
    <w:abstractNumId w:val="11"/>
  </w:num>
  <w:num w:numId="20">
    <w:abstractNumId w:val="32"/>
  </w:num>
  <w:num w:numId="21">
    <w:abstractNumId w:val="39"/>
  </w:num>
  <w:num w:numId="22">
    <w:abstractNumId w:val="53"/>
  </w:num>
  <w:num w:numId="23">
    <w:abstractNumId w:val="23"/>
  </w:num>
  <w:num w:numId="24">
    <w:abstractNumId w:val="9"/>
  </w:num>
  <w:num w:numId="25">
    <w:abstractNumId w:val="10"/>
  </w:num>
  <w:num w:numId="26">
    <w:abstractNumId w:val="47"/>
  </w:num>
  <w:num w:numId="27">
    <w:abstractNumId w:val="16"/>
  </w:num>
  <w:num w:numId="28">
    <w:abstractNumId w:val="17"/>
  </w:num>
  <w:num w:numId="29">
    <w:abstractNumId w:val="5"/>
  </w:num>
  <w:num w:numId="30">
    <w:abstractNumId w:val="4"/>
  </w:num>
  <w:num w:numId="31">
    <w:abstractNumId w:val="50"/>
  </w:num>
  <w:num w:numId="32">
    <w:abstractNumId w:val="1"/>
  </w:num>
  <w:num w:numId="33">
    <w:abstractNumId w:val="3"/>
  </w:num>
  <w:num w:numId="34">
    <w:abstractNumId w:val="15"/>
  </w:num>
  <w:num w:numId="35">
    <w:abstractNumId w:val="35"/>
  </w:num>
  <w:num w:numId="36">
    <w:abstractNumId w:val="49"/>
  </w:num>
  <w:num w:numId="37">
    <w:abstractNumId w:val="52"/>
  </w:num>
  <w:num w:numId="38">
    <w:abstractNumId w:val="42"/>
  </w:num>
  <w:num w:numId="39">
    <w:abstractNumId w:val="7"/>
  </w:num>
  <w:num w:numId="40">
    <w:abstractNumId w:val="54"/>
  </w:num>
  <w:num w:numId="41">
    <w:abstractNumId w:val="18"/>
  </w:num>
  <w:num w:numId="42">
    <w:abstractNumId w:val="46"/>
  </w:num>
  <w:num w:numId="43">
    <w:abstractNumId w:val="41"/>
  </w:num>
  <w:num w:numId="44">
    <w:abstractNumId w:val="31"/>
  </w:num>
  <w:num w:numId="45">
    <w:abstractNumId w:val="48"/>
  </w:num>
  <w:num w:numId="46">
    <w:abstractNumId w:val="38"/>
  </w:num>
  <w:num w:numId="47">
    <w:abstractNumId w:val="0"/>
  </w:num>
  <w:num w:numId="48">
    <w:abstractNumId w:val="13"/>
  </w:num>
  <w:num w:numId="49">
    <w:abstractNumId w:val="29"/>
  </w:num>
  <w:num w:numId="50">
    <w:abstractNumId w:val="12"/>
  </w:num>
  <w:num w:numId="51">
    <w:abstractNumId w:val="19"/>
  </w:num>
  <w:num w:numId="52">
    <w:abstractNumId w:val="22"/>
  </w:num>
  <w:num w:numId="53">
    <w:abstractNumId w:val="6"/>
  </w:num>
  <w:num w:numId="54">
    <w:abstractNumId w:val="43"/>
  </w:num>
  <w:num w:numId="55">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996"/>
    <w:rsid w:val="00024D8A"/>
    <w:rsid w:val="000257D6"/>
    <w:rsid w:val="00031070"/>
    <w:rsid w:val="00033ABB"/>
    <w:rsid w:val="00043B38"/>
    <w:rsid w:val="000457CA"/>
    <w:rsid w:val="00045FC9"/>
    <w:rsid w:val="00050CDC"/>
    <w:rsid w:val="0005647D"/>
    <w:rsid w:val="000569CE"/>
    <w:rsid w:val="00061E5E"/>
    <w:rsid w:val="00065813"/>
    <w:rsid w:val="00065F73"/>
    <w:rsid w:val="00067636"/>
    <w:rsid w:val="00072627"/>
    <w:rsid w:val="000751F4"/>
    <w:rsid w:val="000768C1"/>
    <w:rsid w:val="00085194"/>
    <w:rsid w:val="000853A4"/>
    <w:rsid w:val="00091BEC"/>
    <w:rsid w:val="00094EDA"/>
    <w:rsid w:val="000A1933"/>
    <w:rsid w:val="000A631A"/>
    <w:rsid w:val="000A708C"/>
    <w:rsid w:val="000B1EA0"/>
    <w:rsid w:val="000B6330"/>
    <w:rsid w:val="000B752F"/>
    <w:rsid w:val="000B7C32"/>
    <w:rsid w:val="000B7E0B"/>
    <w:rsid w:val="000C0D75"/>
    <w:rsid w:val="000C4F2A"/>
    <w:rsid w:val="000D1F40"/>
    <w:rsid w:val="000E1353"/>
    <w:rsid w:val="000E1F73"/>
    <w:rsid w:val="000F3EC3"/>
    <w:rsid w:val="000F4963"/>
    <w:rsid w:val="00102C1B"/>
    <w:rsid w:val="001056AE"/>
    <w:rsid w:val="00113300"/>
    <w:rsid w:val="00113FB3"/>
    <w:rsid w:val="00117C5F"/>
    <w:rsid w:val="001207E5"/>
    <w:rsid w:val="00121450"/>
    <w:rsid w:val="001272B7"/>
    <w:rsid w:val="00133174"/>
    <w:rsid w:val="00134E92"/>
    <w:rsid w:val="00135631"/>
    <w:rsid w:val="00144EBE"/>
    <w:rsid w:val="0014730D"/>
    <w:rsid w:val="001502DC"/>
    <w:rsid w:val="00165744"/>
    <w:rsid w:val="00170BA4"/>
    <w:rsid w:val="00172583"/>
    <w:rsid w:val="00172CD1"/>
    <w:rsid w:val="0017389A"/>
    <w:rsid w:val="00174380"/>
    <w:rsid w:val="00183FFD"/>
    <w:rsid w:val="00184755"/>
    <w:rsid w:val="001B427A"/>
    <w:rsid w:val="001C26F7"/>
    <w:rsid w:val="001C43C7"/>
    <w:rsid w:val="001C6CD8"/>
    <w:rsid w:val="001D1163"/>
    <w:rsid w:val="001D5922"/>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38CE"/>
    <w:rsid w:val="00237436"/>
    <w:rsid w:val="00237E02"/>
    <w:rsid w:val="002457BD"/>
    <w:rsid w:val="002501B2"/>
    <w:rsid w:val="0025235F"/>
    <w:rsid w:val="0025434A"/>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F4EFE"/>
    <w:rsid w:val="0030471F"/>
    <w:rsid w:val="003107A6"/>
    <w:rsid w:val="00320036"/>
    <w:rsid w:val="00320F9B"/>
    <w:rsid w:val="0032195B"/>
    <w:rsid w:val="00321F8E"/>
    <w:rsid w:val="00322C20"/>
    <w:rsid w:val="00330EA5"/>
    <w:rsid w:val="003335CB"/>
    <w:rsid w:val="0033382F"/>
    <w:rsid w:val="00336F0F"/>
    <w:rsid w:val="003433A8"/>
    <w:rsid w:val="003501B9"/>
    <w:rsid w:val="003549C8"/>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5F69"/>
    <w:rsid w:val="003C0CCD"/>
    <w:rsid w:val="003C6CB7"/>
    <w:rsid w:val="003D14BD"/>
    <w:rsid w:val="003D22A3"/>
    <w:rsid w:val="003D3FC8"/>
    <w:rsid w:val="003D54F4"/>
    <w:rsid w:val="003D6633"/>
    <w:rsid w:val="003E0429"/>
    <w:rsid w:val="003E3908"/>
    <w:rsid w:val="003E5D03"/>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E07"/>
    <w:rsid w:val="004C72A1"/>
    <w:rsid w:val="004D14C0"/>
    <w:rsid w:val="004D27E3"/>
    <w:rsid w:val="004E403F"/>
    <w:rsid w:val="004E43F1"/>
    <w:rsid w:val="004E5D3D"/>
    <w:rsid w:val="004E6AD1"/>
    <w:rsid w:val="004F363F"/>
    <w:rsid w:val="004F3DBC"/>
    <w:rsid w:val="0050016F"/>
    <w:rsid w:val="00506AF0"/>
    <w:rsid w:val="005070EC"/>
    <w:rsid w:val="00507251"/>
    <w:rsid w:val="0051043C"/>
    <w:rsid w:val="00512BAA"/>
    <w:rsid w:val="00516C4C"/>
    <w:rsid w:val="00516C9A"/>
    <w:rsid w:val="0052474F"/>
    <w:rsid w:val="00530888"/>
    <w:rsid w:val="00531F6C"/>
    <w:rsid w:val="00534D58"/>
    <w:rsid w:val="00535750"/>
    <w:rsid w:val="00540417"/>
    <w:rsid w:val="0054230A"/>
    <w:rsid w:val="005446EC"/>
    <w:rsid w:val="00551129"/>
    <w:rsid w:val="00551289"/>
    <w:rsid w:val="005542D7"/>
    <w:rsid w:val="00555EC0"/>
    <w:rsid w:val="00574637"/>
    <w:rsid w:val="00574BCC"/>
    <w:rsid w:val="00583EB1"/>
    <w:rsid w:val="00584B21"/>
    <w:rsid w:val="00586F07"/>
    <w:rsid w:val="00591BC3"/>
    <w:rsid w:val="005A03B2"/>
    <w:rsid w:val="005A5141"/>
    <w:rsid w:val="005A5372"/>
    <w:rsid w:val="005A7377"/>
    <w:rsid w:val="005B2345"/>
    <w:rsid w:val="005B4A8E"/>
    <w:rsid w:val="005B7D43"/>
    <w:rsid w:val="005C1A7C"/>
    <w:rsid w:val="005D5638"/>
    <w:rsid w:val="005D6F12"/>
    <w:rsid w:val="005E147E"/>
    <w:rsid w:val="005E1E94"/>
    <w:rsid w:val="0061060B"/>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4185"/>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7AD"/>
    <w:rsid w:val="007D13B5"/>
    <w:rsid w:val="007D5564"/>
    <w:rsid w:val="007D6C8E"/>
    <w:rsid w:val="007D6E10"/>
    <w:rsid w:val="007E0BB9"/>
    <w:rsid w:val="007E3EBA"/>
    <w:rsid w:val="007E4AF0"/>
    <w:rsid w:val="007E64D9"/>
    <w:rsid w:val="007E76DF"/>
    <w:rsid w:val="007F13A1"/>
    <w:rsid w:val="007F28A8"/>
    <w:rsid w:val="0080283A"/>
    <w:rsid w:val="00803441"/>
    <w:rsid w:val="008047FE"/>
    <w:rsid w:val="00806004"/>
    <w:rsid w:val="008117C8"/>
    <w:rsid w:val="00817165"/>
    <w:rsid w:val="008361CC"/>
    <w:rsid w:val="00837B47"/>
    <w:rsid w:val="008441D1"/>
    <w:rsid w:val="00847E22"/>
    <w:rsid w:val="00850922"/>
    <w:rsid w:val="008553E6"/>
    <w:rsid w:val="0085714A"/>
    <w:rsid w:val="00866AD9"/>
    <w:rsid w:val="008706A1"/>
    <w:rsid w:val="0087118E"/>
    <w:rsid w:val="00873E37"/>
    <w:rsid w:val="00875E8E"/>
    <w:rsid w:val="00876147"/>
    <w:rsid w:val="00877F3E"/>
    <w:rsid w:val="008802F9"/>
    <w:rsid w:val="0088060B"/>
    <w:rsid w:val="0089066F"/>
    <w:rsid w:val="00893821"/>
    <w:rsid w:val="0089745E"/>
    <w:rsid w:val="00897642"/>
    <w:rsid w:val="008B4D15"/>
    <w:rsid w:val="008C0203"/>
    <w:rsid w:val="008C2763"/>
    <w:rsid w:val="008C281E"/>
    <w:rsid w:val="008C4C9B"/>
    <w:rsid w:val="008C6CA3"/>
    <w:rsid w:val="008D0120"/>
    <w:rsid w:val="008D6D41"/>
    <w:rsid w:val="008D75FE"/>
    <w:rsid w:val="008E493D"/>
    <w:rsid w:val="008F7578"/>
    <w:rsid w:val="00901DAA"/>
    <w:rsid w:val="00912F97"/>
    <w:rsid w:val="009173CA"/>
    <w:rsid w:val="009173D2"/>
    <w:rsid w:val="0094333F"/>
    <w:rsid w:val="00952184"/>
    <w:rsid w:val="00963907"/>
    <w:rsid w:val="009714B9"/>
    <w:rsid w:val="00975730"/>
    <w:rsid w:val="00980888"/>
    <w:rsid w:val="00981837"/>
    <w:rsid w:val="00985E0A"/>
    <w:rsid w:val="00995725"/>
    <w:rsid w:val="009A2534"/>
    <w:rsid w:val="009A7915"/>
    <w:rsid w:val="009A7E25"/>
    <w:rsid w:val="009B23EB"/>
    <w:rsid w:val="009C5EEB"/>
    <w:rsid w:val="009D0ED1"/>
    <w:rsid w:val="009D2374"/>
    <w:rsid w:val="009D3F9D"/>
    <w:rsid w:val="009E4A6A"/>
    <w:rsid w:val="009E5700"/>
    <w:rsid w:val="009E699C"/>
    <w:rsid w:val="009E6FCD"/>
    <w:rsid w:val="009F6BFE"/>
    <w:rsid w:val="009F6EC9"/>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15E4"/>
    <w:rsid w:val="00A45C80"/>
    <w:rsid w:val="00A4747A"/>
    <w:rsid w:val="00A5542E"/>
    <w:rsid w:val="00A55BBF"/>
    <w:rsid w:val="00A55E21"/>
    <w:rsid w:val="00A57928"/>
    <w:rsid w:val="00A6324D"/>
    <w:rsid w:val="00A65619"/>
    <w:rsid w:val="00A70C54"/>
    <w:rsid w:val="00A7457B"/>
    <w:rsid w:val="00A812FD"/>
    <w:rsid w:val="00A84870"/>
    <w:rsid w:val="00A877F4"/>
    <w:rsid w:val="00A90559"/>
    <w:rsid w:val="00A941F8"/>
    <w:rsid w:val="00A97C24"/>
    <w:rsid w:val="00AA06DE"/>
    <w:rsid w:val="00AA424C"/>
    <w:rsid w:val="00AA48A2"/>
    <w:rsid w:val="00AA4A92"/>
    <w:rsid w:val="00AA77BE"/>
    <w:rsid w:val="00AB03FF"/>
    <w:rsid w:val="00AB045A"/>
    <w:rsid w:val="00AB181B"/>
    <w:rsid w:val="00AB1DDF"/>
    <w:rsid w:val="00AB4B6A"/>
    <w:rsid w:val="00AC61D9"/>
    <w:rsid w:val="00AC7A65"/>
    <w:rsid w:val="00AD196F"/>
    <w:rsid w:val="00AD2424"/>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4C09"/>
    <w:rsid w:val="00B45778"/>
    <w:rsid w:val="00B45DE1"/>
    <w:rsid w:val="00B466C4"/>
    <w:rsid w:val="00B50EE6"/>
    <w:rsid w:val="00B6163B"/>
    <w:rsid w:val="00B75282"/>
    <w:rsid w:val="00B76238"/>
    <w:rsid w:val="00B77986"/>
    <w:rsid w:val="00B82057"/>
    <w:rsid w:val="00B83393"/>
    <w:rsid w:val="00B83411"/>
    <w:rsid w:val="00B858FB"/>
    <w:rsid w:val="00B86095"/>
    <w:rsid w:val="00B97D4A"/>
    <w:rsid w:val="00BA2DEC"/>
    <w:rsid w:val="00BA7615"/>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1013E"/>
    <w:rsid w:val="00C10988"/>
    <w:rsid w:val="00C12AF8"/>
    <w:rsid w:val="00C154EE"/>
    <w:rsid w:val="00C25ED4"/>
    <w:rsid w:val="00C2745F"/>
    <w:rsid w:val="00C275A4"/>
    <w:rsid w:val="00C32884"/>
    <w:rsid w:val="00C32DAA"/>
    <w:rsid w:val="00C37B36"/>
    <w:rsid w:val="00C40473"/>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F"/>
    <w:rsid w:val="00CB53EF"/>
    <w:rsid w:val="00CC0273"/>
    <w:rsid w:val="00CC5C45"/>
    <w:rsid w:val="00CD4B4E"/>
    <w:rsid w:val="00CD4DBA"/>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4BA0"/>
    <w:rsid w:val="00DB64E0"/>
    <w:rsid w:val="00DB6556"/>
    <w:rsid w:val="00DC0273"/>
    <w:rsid w:val="00DC08CA"/>
    <w:rsid w:val="00DC19BA"/>
    <w:rsid w:val="00DD756A"/>
    <w:rsid w:val="00DE1463"/>
    <w:rsid w:val="00DE4CC1"/>
    <w:rsid w:val="00DE66D1"/>
    <w:rsid w:val="00DF2772"/>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0218"/>
    <w:rsid w:val="00E80A94"/>
    <w:rsid w:val="00E910C9"/>
    <w:rsid w:val="00E92036"/>
    <w:rsid w:val="00EA47CB"/>
    <w:rsid w:val="00EA6BAD"/>
    <w:rsid w:val="00EB0FC5"/>
    <w:rsid w:val="00EB1B8B"/>
    <w:rsid w:val="00EB2419"/>
    <w:rsid w:val="00EB56F9"/>
    <w:rsid w:val="00EC0C0B"/>
    <w:rsid w:val="00ED0AE9"/>
    <w:rsid w:val="00ED2531"/>
    <w:rsid w:val="00ED2C1E"/>
    <w:rsid w:val="00ED5C52"/>
    <w:rsid w:val="00ED61A0"/>
    <w:rsid w:val="00EF3CA1"/>
    <w:rsid w:val="00EF4292"/>
    <w:rsid w:val="00EF5984"/>
    <w:rsid w:val="00EF65F5"/>
    <w:rsid w:val="00EF6948"/>
    <w:rsid w:val="00F0092E"/>
    <w:rsid w:val="00F0627B"/>
    <w:rsid w:val="00F153D8"/>
    <w:rsid w:val="00F1569E"/>
    <w:rsid w:val="00F170F7"/>
    <w:rsid w:val="00F22B1F"/>
    <w:rsid w:val="00F245D3"/>
    <w:rsid w:val="00F25834"/>
    <w:rsid w:val="00F322BF"/>
    <w:rsid w:val="00F3424E"/>
    <w:rsid w:val="00F360CB"/>
    <w:rsid w:val="00F3697C"/>
    <w:rsid w:val="00F41DE0"/>
    <w:rsid w:val="00F426A9"/>
    <w:rsid w:val="00F5011A"/>
    <w:rsid w:val="00F5354D"/>
    <w:rsid w:val="00F654C5"/>
    <w:rsid w:val="00F71A4F"/>
    <w:rsid w:val="00F7374A"/>
    <w:rsid w:val="00F73767"/>
    <w:rsid w:val="00F909F5"/>
    <w:rsid w:val="00F944E5"/>
    <w:rsid w:val="00FA0EAF"/>
    <w:rsid w:val="00FB0305"/>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4:docId w14:val="449FCFC7"/>
  <w15:docId w15:val="{9949D5D0-E4F5-4F1F-8C5A-2E7AD3D7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2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5065">
      <w:bodyDiv w:val="1"/>
      <w:marLeft w:val="0"/>
      <w:marRight w:val="0"/>
      <w:marTop w:val="0"/>
      <w:marBottom w:val="0"/>
      <w:divBdr>
        <w:top w:val="none" w:sz="0" w:space="0" w:color="auto"/>
        <w:left w:val="none" w:sz="0" w:space="0" w:color="auto"/>
        <w:bottom w:val="none" w:sz="0" w:space="0" w:color="auto"/>
        <w:right w:val="none" w:sz="0" w:space="0" w:color="auto"/>
      </w:divBdr>
      <w:divsChild>
        <w:div w:id="588200668">
          <w:marLeft w:val="0"/>
          <w:marRight w:val="0"/>
          <w:marTop w:val="0"/>
          <w:marBottom w:val="0"/>
          <w:divBdr>
            <w:top w:val="none" w:sz="0" w:space="0" w:color="auto"/>
            <w:left w:val="none" w:sz="0" w:space="0" w:color="auto"/>
            <w:bottom w:val="none" w:sz="0" w:space="0" w:color="auto"/>
            <w:right w:val="none" w:sz="0" w:space="0" w:color="auto"/>
          </w:divBdr>
        </w:div>
      </w:divsChild>
    </w:div>
    <w:div w:id="115055586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20062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694DC7E22B074C8A95D627EFD47E6C" ma:contentTypeVersion="6" ma:contentTypeDescription="Create a new document." ma:contentTypeScope="" ma:versionID="45ca8f195930d2ae235e4fd7099e866b">
  <xsd:schema xmlns:xsd="http://www.w3.org/2001/XMLSchema" xmlns:xs="http://www.w3.org/2001/XMLSchema" xmlns:p="http://schemas.microsoft.com/office/2006/metadata/properties" xmlns:ns2="fd39c0bf-20d7-45d2-803e-06621f68db7f" xmlns:ns3="64da55a7-495d-4021-bb89-5047a08d54a8" targetNamespace="http://schemas.microsoft.com/office/2006/metadata/properties" ma:root="true" ma:fieldsID="5b155d7ac87d16e408d17dc7934d7fa3" ns2:_="" ns3:_="">
    <xsd:import namespace="fd39c0bf-20d7-45d2-803e-06621f68db7f"/>
    <xsd:import namespace="64da55a7-495d-4021-bb89-5047a08d54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9c0bf-20d7-45d2-803e-06621f68db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da55a7-495d-4021-bb89-5047a08d54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7E933-F12E-423C-93D6-FA4214DCF7D4}">
  <ds:schemaRefs>
    <ds:schemaRef ds:uri="http://schemas.microsoft.com/office/2006/metadata/properties"/>
    <ds:schemaRef ds:uri="http://purl.org/dc/elements/1.1/"/>
    <ds:schemaRef ds:uri="http://purl.org/dc/term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64da55a7-495d-4021-bb89-5047a08d54a8"/>
    <ds:schemaRef ds:uri="fd39c0bf-20d7-45d2-803e-06621f68db7f"/>
  </ds:schemaRefs>
</ds:datastoreItem>
</file>

<file path=customXml/itemProps2.xml><?xml version="1.0" encoding="utf-8"?>
<ds:datastoreItem xmlns:ds="http://schemas.openxmlformats.org/officeDocument/2006/customXml" ds:itemID="{756A9BE0-8A8F-4357-81C0-932BB60DE16E}">
  <ds:schemaRefs>
    <ds:schemaRef ds:uri="http://schemas.microsoft.com/sharepoint/v3/contenttype/forms"/>
  </ds:schemaRefs>
</ds:datastoreItem>
</file>

<file path=customXml/itemProps3.xml><?xml version="1.0" encoding="utf-8"?>
<ds:datastoreItem xmlns:ds="http://schemas.openxmlformats.org/officeDocument/2006/customXml" ds:itemID="{D90BECAD-7245-4089-ABD4-7B37993AA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9c0bf-20d7-45d2-803e-06621f68db7f"/>
    <ds:schemaRef ds:uri="64da55a7-495d-4021-bb89-5047a08d5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50859A-AEB9-4717-BF19-D7A81A85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1028</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Zacheus Mwatha</cp:lastModifiedBy>
  <cp:revision>7</cp:revision>
  <cp:lastPrinted>2008-07-11T13:15:00Z</cp:lastPrinted>
  <dcterms:created xsi:type="dcterms:W3CDTF">2021-02-23T09:11:00Z</dcterms:created>
  <dcterms:modified xsi:type="dcterms:W3CDTF">2021-02-24T06:11:00Z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0x01010057694DC7E22B074C8A95D627EFD47E6C</vt:lpwstr>
  </property>
</Properties>
</file>