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6"/>
        <w:gridCol w:w="2908"/>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550AC0" w:rsidP="00D4138E">
            <w:pPr>
              <w:tabs>
                <w:tab w:val="center" w:pos="4320"/>
                <w:tab w:val="right" w:pos="8640"/>
              </w:tabs>
              <w:rPr>
                <w:rFonts w:ascii="Arial Narrow" w:hAnsi="Arial Narrow"/>
              </w:rPr>
            </w:pPr>
            <w:r>
              <w:rPr>
                <w:rFonts w:ascii="Arial Narrow" w:hAnsi="Arial Narrow"/>
              </w:rPr>
              <w:t>29</w:t>
            </w:r>
            <w:r w:rsidR="00F80A11" w:rsidRPr="00F80A11">
              <w:rPr>
                <w:rFonts w:ascii="Arial Narrow" w:hAnsi="Arial Narrow"/>
                <w:vertAlign w:val="superscript"/>
              </w:rPr>
              <w:t>th</w:t>
            </w:r>
            <w:r w:rsidR="00F80A11">
              <w:rPr>
                <w:rFonts w:ascii="Arial Narrow" w:hAnsi="Arial Narrow"/>
              </w:rPr>
              <w:t xml:space="preserve"> March,2022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550AC0" w:rsidP="00D4138E">
            <w:pPr>
              <w:tabs>
                <w:tab w:val="center" w:pos="4320"/>
                <w:tab w:val="right" w:pos="8640"/>
              </w:tabs>
              <w:rPr>
                <w:rFonts w:ascii="Arial Narrow" w:hAnsi="Arial Narrow"/>
              </w:rPr>
            </w:pPr>
            <w:r>
              <w:rPr>
                <w:rFonts w:ascii="Arial Narrow" w:hAnsi="Arial Narrow"/>
              </w:rPr>
              <w:t>2</w:t>
            </w:r>
            <w:r w:rsidR="00F80A11">
              <w:rPr>
                <w:rFonts w:ascii="Arial Narrow" w:hAnsi="Arial Narrow"/>
              </w:rPr>
              <w:t>8</w:t>
            </w:r>
            <w:r w:rsidR="00F80A11" w:rsidRPr="00F80A11">
              <w:rPr>
                <w:rFonts w:ascii="Arial Narrow" w:hAnsi="Arial Narrow"/>
                <w:vertAlign w:val="superscript"/>
              </w:rPr>
              <w:t>th</w:t>
            </w:r>
            <w:r w:rsidR="00F80A11">
              <w:rPr>
                <w:rFonts w:ascii="Arial Narrow" w:hAnsi="Arial Narrow"/>
              </w:rPr>
              <w:t xml:space="preserve"> April ,2022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F80A11">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F80A11">
              <w:rPr>
                <w:rFonts w:ascii="Arial Narrow" w:hAnsi="Arial Narrow" w:cs="Arial"/>
                <w:b/>
                <w:bCs/>
              </w:rPr>
              <w:t>Nkatha Betty (</w:t>
            </w:r>
            <w:hyperlink r:id="rId10" w:history="1">
              <w:r w:rsidR="00F80A11" w:rsidRPr="00DA57F9">
                <w:rPr>
                  <w:rStyle w:val="Hyperlink"/>
                  <w:rFonts w:ascii="Arial Narrow" w:hAnsi="Arial Narrow" w:cs="Arial"/>
                  <w:b/>
                  <w:bCs/>
                </w:rPr>
                <w:t>nkathab@kebs.org</w:t>
              </w:r>
            </w:hyperlink>
            <w:r w:rsidR="00F80A11">
              <w:rPr>
                <w:rFonts w:ascii="Arial Narrow" w:hAnsi="Arial Narrow" w:cs="Arial"/>
                <w:b/>
                <w:bCs/>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AF6F25" w:rsidRDefault="007D7BDE" w:rsidP="00AF6F25">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AF6F25" w:rsidRPr="00556197" w:rsidRDefault="00AF6F25" w:rsidP="00AF6F25">
      <w:pPr>
        <w:autoSpaceDE w:val="0"/>
        <w:autoSpaceDN w:val="0"/>
        <w:adjustRightInd w:val="0"/>
        <w:jc w:val="both"/>
        <w:rPr>
          <w:rFonts w:ascii="Arial Narrow" w:hAnsi="Arial Narrow" w:cs="Arial"/>
        </w:rPr>
      </w:pPr>
    </w:p>
    <w:tbl>
      <w:tblPr>
        <w:tblW w:w="9015" w:type="dxa"/>
        <w:tblLayout w:type="fixed"/>
        <w:tblLook w:val="0400" w:firstRow="0" w:lastRow="0" w:firstColumn="0" w:lastColumn="0" w:noHBand="0" w:noVBand="1"/>
      </w:tblPr>
      <w:tblGrid>
        <w:gridCol w:w="846"/>
        <w:gridCol w:w="1839"/>
        <w:gridCol w:w="2445"/>
        <w:gridCol w:w="3885"/>
      </w:tblGrid>
      <w:tr w:rsidR="00AF6F25" w:rsidRPr="00AF6F25" w:rsidTr="00B32D9D">
        <w:trPr>
          <w:trHeight w:val="580"/>
        </w:trPr>
        <w:tc>
          <w:tcPr>
            <w:tcW w:w="9015" w:type="dxa"/>
            <w:gridSpan w:val="4"/>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center"/>
              <w:rPr>
                <w:rFonts w:ascii="Arial Narrow" w:hAnsi="Arial Narrow" w:cs="Arial"/>
                <w:b/>
                <w:sz w:val="28"/>
                <w:szCs w:val="28"/>
              </w:rPr>
            </w:pPr>
            <w:r w:rsidRPr="00AF6F25">
              <w:rPr>
                <w:rFonts w:ascii="Arial Narrow" w:hAnsi="Arial Narrow" w:cs="Arial"/>
                <w:b/>
                <w:sz w:val="28"/>
                <w:szCs w:val="28"/>
              </w:rPr>
              <w:t>KEBS/TC 107 "Freight containers"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b/>
              </w:rPr>
            </w:pPr>
            <w:bookmarkStart w:id="21" w:name="_heading=h.gjdgxs" w:colFirst="0" w:colLast="0"/>
            <w:bookmarkEnd w:id="21"/>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b/>
              </w:rPr>
            </w:pPr>
            <w:r w:rsidRPr="00AF6F25">
              <w:rPr>
                <w:rFonts w:ascii="Arial Narrow" w:hAnsi="Arial Narrow" w:cs="Arial"/>
                <w:b/>
              </w:rPr>
              <w:t>Number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b/>
              </w:rPr>
            </w:pPr>
            <w:r w:rsidRPr="00AF6F25">
              <w:rPr>
                <w:rFonts w:ascii="Arial Narrow" w:hAnsi="Arial Narrow" w:cs="Arial"/>
                <w:b/>
              </w:rPr>
              <w:t>Title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b/>
              </w:rPr>
            </w:pPr>
            <w:r w:rsidRPr="00AF6F25">
              <w:rPr>
                <w:rFonts w:ascii="Arial Narrow" w:hAnsi="Arial Narrow" w:cs="Arial"/>
                <w:b/>
              </w:rPr>
              <w:t>Scope</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1496-2:2018</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Series 1 Freight Containers Specification and Testing Part 2 Thermal Containers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gives the basic specifications and testing requirements for ISO series 1 thermal containers for international exchange and for conveyance of goods by road, rail and sea, including interchange between these forms of transport.</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1496-3:2019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Series 1 Freight Containers Specification and Testing Part 3 Tank Containers For Liquids Gases and Pressurized Dry Bulk</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basic specifications and testing requirements for ISO series 1 tank containers suitable for the carriage of gases, liquids and solid substances (dry bulk) which can be loaded or unloaded as liquids by gravity or pressure discharge, for international exchange and for conveyance by road, rail and sea, including interchange between these forms of transport.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Except where otherwise stated, the requirements of this document are minimum requirements.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1496-5:2018</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Series 1 Freight Containers Specification and Testing Part 5 Platform and Platform Based Containers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basic specifications and testing requirements for ISO series 1 freight containers of the platform and platform-based types designated 1AAA, 1AA, 1A, 1AX, 1BBB, 1BB, 1B, 1BX, 1CC, 1C and 1CX which are suitable for international exchange and for conveyance by road, rail and sea, including interchange between these forms of transport, with certain limitations (for example, when loaded, platforms cannot be stacked or top lifted by means of conventional spreaders).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15069:2018</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Series 1 Freight Containers Handling and Securing Rationale For  ISO 3874 Annex A</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gives the background to the requirements specified in ISO 3874:2017, Annexes A to E.</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ISO/TR 15070:1996</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Series 1 Freight Containers Rationale For Structural Test Criteria</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Technical Report gives the rationale for the structural test criteria for IS.0 series 1 freight containers, based on the tests specified in IS0 1496-1. </w:t>
            </w:r>
          </w:p>
        </w:tc>
      </w:tr>
      <w:tr w:rsidR="00AF6F25" w:rsidRPr="00AF6F25" w:rsidTr="00B32D9D">
        <w:trPr>
          <w:trHeight w:val="290"/>
        </w:trPr>
        <w:tc>
          <w:tcPr>
            <w:tcW w:w="9015" w:type="dxa"/>
            <w:gridSpan w:val="4"/>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center"/>
              <w:rPr>
                <w:rFonts w:ascii="Arial Narrow" w:hAnsi="Arial Narrow" w:cs="Arial"/>
                <w:b/>
                <w:sz w:val="28"/>
                <w:szCs w:val="28"/>
              </w:rPr>
            </w:pPr>
            <w:r w:rsidRPr="00AF6F25">
              <w:rPr>
                <w:rFonts w:ascii="Arial Narrow" w:hAnsi="Arial Narrow" w:cs="Arial"/>
                <w:b/>
                <w:sz w:val="28"/>
                <w:szCs w:val="28"/>
              </w:rPr>
              <w:t>KEBS/TC 122 "Road vehicles"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b/>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b/>
              </w:rPr>
            </w:pPr>
            <w:r w:rsidRPr="00AF6F25">
              <w:rPr>
                <w:rFonts w:ascii="Arial Narrow" w:hAnsi="Arial Narrow" w:cs="Arial"/>
                <w:b/>
              </w:rPr>
              <w:t>Number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b/>
              </w:rPr>
            </w:pPr>
            <w:r w:rsidRPr="00AF6F25">
              <w:rPr>
                <w:rFonts w:ascii="Arial Narrow" w:hAnsi="Arial Narrow" w:cs="Arial"/>
                <w:b/>
              </w:rPr>
              <w:t>Title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b/>
              </w:rPr>
            </w:pPr>
            <w:r w:rsidRPr="00AF6F25">
              <w:rPr>
                <w:rFonts w:ascii="Arial Narrow" w:hAnsi="Arial Narrow" w:cs="Arial"/>
                <w:b/>
              </w:rPr>
              <w:t>Scope</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881DE6" w:rsidRPr="00AF6F25" w:rsidRDefault="0043405A" w:rsidP="00AF6F25">
            <w:pPr>
              <w:autoSpaceDE w:val="0"/>
              <w:autoSpaceDN w:val="0"/>
              <w:adjustRightInd w:val="0"/>
              <w:jc w:val="both"/>
              <w:rPr>
                <w:rFonts w:ascii="Arial Narrow" w:hAnsi="Arial Narrow" w:cs="Arial"/>
                <w:b/>
                <w:bCs/>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3807-2013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Gas cylinders — Acetylene cylinders — Basic requirements and type testing</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basic and type testing requirements for acetylene cylinders with and without fusible plugs with a maximum nominal water capacity of 150 l and requirements regarding production/batch test procedures for manufacturing of acetylene cylinders with porous material.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does not include details of the design of the cylinder shell; these are specified, for example, in ISO 9809 1, ISO 9809 3, ISO 4706 and ISO 7866.</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bookmarkStart w:id="22" w:name="_heading=h.30j0zll" w:colFirst="0" w:colLast="0"/>
            <w:bookmarkEnd w:id="22"/>
            <w:r w:rsidRPr="00AF6F25">
              <w:rPr>
                <w:rFonts w:ascii="Arial Narrow" w:hAnsi="Arial Narrow" w:cs="Arial"/>
              </w:rPr>
              <w:t>KS ISO 6621-1:2018</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1 Vocabulary</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6621-1:2018 defines the most commonly used terms for piston rings. These terms designate either types of piston rings or certain characteristics and phenomena of piston rings.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terms and definitions in this document apply to piston rings for reciprocating internal combustion engines. They may also be used for piston rings of compressors working under analogous conditions.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1 Further terms and definitions covering measuring principles are given in ISO 6621-2:2003.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2 This document gives the equivalent terms in the Chinese, English, French, German, Italian, Japanese, Portuguese, Russian and Spanish language.</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6621-5:2020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5 Quality Requirements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quality aspects that can be defined but that are not normally found on a drawing specification.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covers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single-piece piston rings of grey cast iron or steel;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multi-piece piston rings (oil control rings) consisting of cast iron parts and spring components;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single-piece and multi-piece oil control rings of steel, i.e. oil control rings in the form of strip steel components or steel segments (rails) with spring expander components.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 addition to specifying some of the limits of acceptance relating to inspection measuring principles (covered by ISO 6621-2), this document also covers those features for which no recognized quantitative measurement procedures exist and which are only checked visually with normal eyesight (glasses if worn normally) and without magnification. Such features (superficial defects) are additional to the standard tolerances of ring width, radial wall thickness and closed gap.</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does not establish acceptable quality levels (AQL), it being left to manufacturer and customer to decide the appropriate levels jointly. In this case, the recommendations of ISO 2859-1 are followed.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quality requirements of piston rings for reciprocating internal combustion engines for road vehicles and other applications. It is applicable to all such rings of a nominal diameter from 30 mm up to and including 200 mm.</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ISO/TR 8357:1996</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Instructions For The Implementation of The Assignment of World Manufacturer Identifier </w:t>
            </w:r>
            <w:proofErr w:type="spellStart"/>
            <w:r w:rsidRPr="00AF6F25">
              <w:rPr>
                <w:rFonts w:ascii="Arial Narrow" w:hAnsi="Arial Narrow" w:cs="Arial"/>
              </w:rPr>
              <w:t>Wmi</w:t>
            </w:r>
            <w:proofErr w:type="spellEnd"/>
            <w:r w:rsidRPr="00AF6F25">
              <w:rPr>
                <w:rFonts w:ascii="Arial Narrow" w:hAnsi="Arial Narrow" w:cs="Arial"/>
              </w:rPr>
              <w:t xml:space="preserve"> Codes For Vehicle Identification Number Vin Systems and For World Parts Manufacturer</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Gives instructions relating to the requesting and assignment of the WMI codes and WPMI codes according to ISO 3780 and ISO 4100.</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 General Requirements and Requirements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15500-1:2015 specifies general requirements and definitions of compressed natural gas fuel system components, intended for use on the types of motor vehicles as defined in ISO 3833. It also provides general design principles, and specifies requirements for instructions and marking.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15500 is applicable to vehicles (mono-fuel, bi-fuel, or dual-fuel applications) using natural gas in accordance with ISO 15403-1. 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 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 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1 It is recognized that miscellaneous components not specifically covered herein can be examined to meet the criteria of this part of ISO 15500 and tested according to the appropriate functional tests.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2 All references to pressure in this part of ISO 15500 are to be considered gauge pressures unless otherwise specified.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NOTE 3 This part of ISO 15500 is based upon a service pressure for natural gas as fuel of 20 MPa [200 </w:t>
            </w:r>
            <w:proofErr w:type="gramStart"/>
            <w:r w:rsidRPr="00AF6F25">
              <w:rPr>
                <w:rFonts w:ascii="Arial Narrow" w:hAnsi="Arial Narrow" w:cs="Arial"/>
              </w:rPr>
              <w:t>bar[</w:t>
            </w:r>
            <w:proofErr w:type="gramEnd"/>
            <w:r w:rsidRPr="00AF6F25">
              <w:rPr>
                <w:rFonts w:ascii="Arial Narrow" w:hAnsi="Arial Narrow" w:cs="Arial"/>
              </w:rPr>
              <w:t>1]] settled at 15 °C. Other service pressures can be accommodated by adjusting the pressure by the appropriate factor (ratio). For example, a 25 MPa (250 bar) service pressure system will require pressures to be multiplied by 1,25.</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[1] 1 bar = 0,1 MPa = 105 Pa; 1 MPa = 1 N/mm2</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6621-3:2021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3 Material Specifications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classifies materials intended for the manufacture of piston rings, based on their mechanical properties and the stresses the materials are capable of withstanding.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piston rings for reciprocating internal combustion engines up to and including those of 200 mm in diameter. It is also applicable to piston rings of compressors working under similar conditions.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6627:2011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Expander Segment Oil Control</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essential dimensional features of expander/rail oil-control rings, without providing a complete product description (because expander-rail designs vary from piston-ring manufacturer to piston-ring manufacturer, the interaction between the manufacturer and the client will determine specific design details).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applies to expander/rail oil-control rings of nominal diameters ranging from 40 mm to 140 mm for reciprocating internal combustion engines for road vehicles and other applications. It also applies to piston rings for compressors working under analogous conditions.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15500-15:2015</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15 Gas Tight Housing and Ventilation Hose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15500-15:2015 specifies tests and requirements for the gas-tight housing and ventilation hose, compressed natural gas fuel system components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15500 is applicable to vehicles using natural gas in accordance with ISO 15403-1 (mono-fuel, bi-fuel, or dual-fuel applications). 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 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 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1 It is recognized that miscellaneous components not specifically covered herein can be examined to meet the criteria of this part of ISO 15500 and tested according to the appropriate functional tests.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2 All references to pressure in this part of ISO 15500 are to be considered gauge pressures unless otherwise specified.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NOTE 3 This part of ISO 15500 is based upon a service pressure for natural gas as a fuel of 20 MPa (200 </w:t>
            </w:r>
            <w:proofErr w:type="gramStart"/>
            <w:r w:rsidRPr="00AF6F25">
              <w:rPr>
                <w:rFonts w:ascii="Arial Narrow" w:hAnsi="Arial Narrow" w:cs="Arial"/>
              </w:rPr>
              <w:t>bar[</w:t>
            </w:r>
            <w:proofErr w:type="gramEnd"/>
            <w:r w:rsidRPr="00AF6F25">
              <w:rPr>
                <w:rFonts w:ascii="Arial Narrow" w:hAnsi="Arial Narrow" w:cs="Arial"/>
              </w:rPr>
              <w:t>1]) settled at 15 °C. Other service pressures can be accommodated by adjusting the pressure by the appropriate factor (ratio). For example, a 25 MPa (250 bar) service pressure system will require pressures to be multiplied by 1,25.</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[1] 1 bar = 0,1 MPa = 10</w:t>
            </w:r>
            <w:r w:rsidRPr="00AF6F25">
              <w:rPr>
                <w:rFonts w:ascii="Arial Narrow" w:hAnsi="Arial Narrow" w:cs="Arial"/>
                <w:vertAlign w:val="superscript"/>
              </w:rPr>
              <w:t>5</w:t>
            </w:r>
            <w:r w:rsidRPr="00AF6F25">
              <w:rPr>
                <w:rFonts w:ascii="Arial Narrow" w:hAnsi="Arial Narrow" w:cs="Arial"/>
              </w:rPr>
              <w:t> Pa; 1 MPa = 1 N/mm</w:t>
            </w:r>
            <w:r w:rsidRPr="00AF6F25">
              <w:rPr>
                <w:rFonts w:ascii="Arial Narrow" w:hAnsi="Arial Narrow" w:cs="Arial"/>
                <w:vertAlign w:val="superscript"/>
              </w:rPr>
              <w:t>2</w:t>
            </w:r>
            <w:r w:rsidRPr="00AF6F25">
              <w:rPr>
                <w:rFonts w:ascii="Arial Narrow" w:hAnsi="Arial Narrow" w:cs="Arial"/>
              </w:rPr>
              <w:t>.</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6624-1:2017</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1 Keystone Rings Made of Cast Iron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6624-1:2017 specifies the essential dimensional features of keystone rings made of cast iron, types T, TB, TBA, TM, K, KB, KBA and KM, having diameters from 70 mm up to and including 200 mm, used in reciprocating internal combustion piston engines.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6624-3:2017</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3 Keystone Rings Made of Steel</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6624-3:2017 specifies the essential dimensional features of keystone rings made of steel, types T, TB, TBA, TM, K, KB, KBA and KM, having diameters from 70 mm up to and including 160 mm, used in reciprocating internal combustion piston engines.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6621-2:2020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2 Inspection Measuring Principles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defines the measuring principles to be used for measuring piston rings; it applies to piston rings up to and including 200 mm diameter for reciprocating internal combustion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can be used for piston rings for compressors working under analogous conditions.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6621-4:2015</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4 General Specifications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6621-4:2015 specifies the general characteristics of piston rings for reciprocating internal combustion engines for road vehicles and other applications (the individual dimensional criteria for these rings are given in the relevant International Standards). It also provides a system for ring coding, designation, and marking. It is applicable to all such rings of a nominal diameter from 30 mm up to and including 200 mm.</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6622-1:2021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1 Rectangular Rings Made of Cast Iron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essential dimensional features of rectangular rings made of cast iron, Types R, B, BA and M, having diameters up to and including 200 mm, used in reciprocating internal combustion piston engines. It is also applicable to piston rings of compressors working under similar conditions.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6622-2:2013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2 Rectangular Rings Made of Steel</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6622-2:2013 specifies the essential dimensional features of rectangular rings made of steel, types R, B, BA, and M having nominal diameters from 30 mm up to and including 160 mm, used in reciprocating internal combustion piston engines for road vehicles and other applications.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6624-2:2016</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2 Half Keystone Rings Made of Cast Iron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6624-2:2016 specifies the essential dimensional features of half keystone rings made of cast iron, types HK, HKB and HKBA, having nominal diameters from 38 mm up to, and including, 160 mm, used in reciprocating internal combustion piston engines for road vehicles and other applications.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6624-4:2016</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4 Half Keystone Rings Made of Steel</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ISO 6624-4:2016 specifies the essential dimensional features of half keystone rings made of steel, types HK, HKB and HKBA, having nominal diameters from 50 mm up to, and including, 160 mm, used in reciprocating internal combustion piston engines for road vehicles and other applications.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6626-2:2013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Part 2 Coil Spring Loaded Oil Control Rings of Narrow Width Made of Cast Iron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6626 specifies the essential dimensional features of coil-spring-loaded oil control rings made of cast iron, types DSF-C, SSF, GSF, DSF, SSF-L, DSF-NG and DSF-CNP. It is applicable to those piston rings in sizes 60 mm to 110 mm, inclusive, for reciprocating internal combustion engines for road vehicles and other applications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18669-1:2021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Pins Part 1 General Specifications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essential dimensional characteristics of piston pins with a nominal outer diameter from 8 mm up to and including 100 mm, for reciprocating internal combustion engines for road vehicles and other applications. In certain applications, except road vehicles, and provided that mutual agreement is made between the customer and the manufacturer, this document can be used with suitable modifications. In addition, it establishes a vocabulary, a pin-type classification, material description based on mechanical properties, common features and quality requirements. The use of this document can require a manufacturer and customer statistical process control agreement.</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18669-2:2020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Pins Part 2 Inspection Measuring Principles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6623:2013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Piston Rings Scraper Rings Made of Cast Iron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International Standard specifies the essential dimensional features of scraper rings made of cast iron, types N, NM, E, and EM, having diameters from 30 mm up to and including 200 mm, used in reciprocating internal combustion engines for road vehicles and other applications.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15500-20:2015</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20 Rigid Fuel Line in Material Other Than Stainless Steel</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part of ISO 15500 provides specific requirements and tests applicable to the rigid fuel line in carbon steel, intended for use on the types of motor vehicles, as defined in ISO 3833, with a service pressure for natural gas as a fuel of 20 MPa (200 bar) settled at 15 °C. ISO 15500 is intended to be applied to vehicles using natural gas which comply with requirements established in ISO 15403-1 (mono-fuel, bi-fuel, or dual-fuel applications). This part of ISO 15500 does not apply to the following: a) liquefied natural gas (LNG) fuel system components located upstream of, and including, the vaporizer; b) fuel containers; c) stationary gas engines; d) container mounting hardware; e) electronic fuel management; f) </w:t>
            </w:r>
            <w:proofErr w:type="spellStart"/>
            <w:r w:rsidRPr="00AF6F25">
              <w:rPr>
                <w:rFonts w:ascii="Arial Narrow" w:hAnsi="Arial Narrow" w:cs="Arial"/>
              </w:rPr>
              <w:t>refuelling</w:t>
            </w:r>
            <w:proofErr w:type="spellEnd"/>
            <w:r w:rsidRPr="00AF6F25">
              <w:rPr>
                <w:rFonts w:ascii="Arial Narrow" w:hAnsi="Arial Narrow" w:cs="Arial"/>
              </w:rPr>
              <w:t xml:space="preserve"> receptacles. NOTE All references to pressure in this part of ISO 15500 are considered gauge pressures unless otherwise specified.1)</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8936:2017</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Awnings For Leisure Accommodation Vehicles Requirements and Test Methods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document specifies requirements, test methods and material performance characteristics for vehicle awnings. It applies to awnings intended to be pitched and struck. This document is not applicable to: a) sun awnings: structure detachable from the vehicle which is used to provide shelter from the sun, but is not designed or constructed to provide shelter from wind, rain or snow; NOTE 1 A sun awning can be used with additional front and side panels to form an enclosure, but this enclosure would not meet the requirements of an awning as defined in this document. b) external blinds: structure permanently fixed to a vehicle which is used to provide shelter from the sun, but is not designed or constructed to provide shelter from wind, rain or snow; NOTE 2 An external blind can be used with additional front and side panels to form an enclosure, but this enclosure would not meet the requirements of an awning as defined in this document. c) fixed awnings: permanent awning which is not designed for mobile use. EXAMPLE Awnings equipped with square </w:t>
            </w:r>
            <w:proofErr w:type="spellStart"/>
            <w:r w:rsidRPr="00AF6F25">
              <w:rPr>
                <w:rFonts w:ascii="Arial Narrow" w:hAnsi="Arial Narrow" w:cs="Arial"/>
              </w:rPr>
              <w:t>aluminium</w:t>
            </w:r>
            <w:proofErr w:type="spellEnd"/>
            <w:r w:rsidRPr="00AF6F25">
              <w:rPr>
                <w:rFonts w:ascii="Arial Narrow" w:hAnsi="Arial Narrow" w:cs="Arial"/>
              </w:rPr>
              <w:t xml:space="preserve"> frames or timber supporting structures and the possibility to install living compartment windows and doors.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4548-9:2008</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Methods of Test For Full Flow Lubricating Oil Filters For Internal Combustion Engines Part 9 Inlet and Outlet Anti Drain Valve Tests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part of ISO 4548 specifies methods of measuring the effectiveness of either inlet or outlet anti-drain valves if fitted to a full-flow lubricating oil filter of the “spin-on” or “easy change” type, for internal combustion engines. </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14722:1998AMD 1:2011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Moped and Moped Rider Kinematics Vocabulary Amendment 1</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15500-14:2020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14 Excess Flow Valve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15500-16:2020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16 Rigid Fuel Line in Stainless Steel</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tests and requirements for the rigid fuel line in stainless steel, a compressed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natural gas (CNG) fuel system component in accordance with ISO 1127 intended for use on the types of</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vehicles (mono-fuel, bi-fuel or dual-fuel applications) using natural gas 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accordance with the ISO 15403 series.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15500-18:2020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18 Filter</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tests and requirements for the filter, a compressed natural gas (CNG) fuel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system component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vehicles (mono-fuel, bi-fuel or dual-fuel applications) using natural gas 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accordance with the ISO 15403 series. 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15500-19:2020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19 Fittings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tests and requirements for fittings, compressed natural gas (CNG) fuel system</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components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vehicles (mono-fuel, bi-fuel or dual-fuel applications) using natural gas 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accordance with the ISO 15403 series.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15500-2:2016</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w:t>
            </w:r>
            <w:proofErr w:type="spellStart"/>
            <w:r w:rsidRPr="00AF6F25">
              <w:rPr>
                <w:rFonts w:ascii="Arial Narrow" w:hAnsi="Arial Narrow" w:cs="Arial"/>
              </w:rPr>
              <w:t>Fuelm</w:t>
            </w:r>
            <w:proofErr w:type="spellEnd"/>
            <w:r w:rsidRPr="00AF6F25">
              <w:rPr>
                <w:rFonts w:ascii="Arial Narrow" w:hAnsi="Arial Narrow" w:cs="Arial"/>
              </w:rPr>
              <w:t xml:space="preserve"> System Components Part 2 Performance and General Test Methods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15500 specifies performance and general test methods for compressed natural gas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(CNG) fuel system components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15500 is applicable to vehicles (mono-fuel, bi-fuel or dual-fuel applications) using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compressed natural gas in accordance with ISO 15403 (all parts). 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15500-3:2020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5 Manual Cylinder Valve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tests and requirements for the check valve, a compressed natural gas (CNG)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fuel system component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vehicles (mono-fuel, bi-fuel or dual-fuel applications) using natural gas 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accordance with the ISO 15403 series. 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15500-4-2020: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3 Check Valve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tests and requirements for the manual valve, a compressed natural gas (CNG)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fuel system component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vehicles (mono-fuel, bi-fuel or dual-fuel applications) using natural gas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 accordance with ISO 15403-1.</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15500-5:2020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3 Check Valve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document specifies tests and requirements for the manual cylinder valve, a compressed natural gas (CNG) fuel system component intended for use on the types of motor vehicles defined in ISO 3833. This document is applicable to vehicles (mono-fuel, bi-fuel or dual-fuel applications) using natural gas in accordance with ISO 15403-1. It is not applicable to the following: a) liquefied natural gas (LNG) fuel system components located upstream of, and including, the vaporizer; b) fuel containers; c) stationary gas engines; d) container-mounting hardware; e) electronic fuel management; 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15500-6:2020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6 Automatic Valve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document specifies tests and requirements for the automatic valve, a compressed natural gas (CNG) fuel system component intended for use on the types of motor vehicles defined in ISO 3833. This document is applicable to vehicles (mono-fuel, bi-fuel or dual-fuel applications) using natural gas in accordance with the ISO 15403 series. It is not applicable to the following: a) liquefied natural gas (LNG) fuel system components located upstream of, and including, the vaporizer; b) fuel containers; c) stationary gas engines; d) container-mounting hardware; e) electronic fuel management; 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15500-9:2020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9 Pressure Regulator</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tests and requirements for the pressure regulator, a compressed natural gas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(CNG) fuel system component intended for use on the types of motor vehicles defined in ISO 3833.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vehicles (mono-fuel, bi-fuel or dual-fuel applications) using natural gas 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accordance with the ISO 15403 series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is not applicable to the following: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 liquefied natural gas (LNG) fuel system components located upstream of, and including,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vaporizer;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b) fuel containers;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 stationary gas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 container-mounting hardware;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 electronic fuel management;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f) </w:t>
            </w:r>
            <w:proofErr w:type="spellStart"/>
            <w:r w:rsidRPr="00AF6F25">
              <w:rPr>
                <w:rFonts w:ascii="Arial Narrow" w:hAnsi="Arial Narrow" w:cs="Arial"/>
              </w:rPr>
              <w:t>refuelling</w:t>
            </w:r>
            <w:proofErr w:type="spellEnd"/>
            <w:r w:rsidRPr="00AF6F25">
              <w:rPr>
                <w:rFonts w:ascii="Arial Narrow" w:hAnsi="Arial Narrow" w:cs="Arial"/>
              </w:rPr>
              <w:t xml:space="preserve"> receptacles.</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23274-2:2021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Hybrid Electric Road Vehicles Exhaust Emissions and Fuel Consumption Measurements Part 2 Externally Chargeable Vehicles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a chassis dynamometer test procedure to determine the end of the charge-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depleting state (CD) and consumed electric energy during CD state.</w:t>
            </w:r>
          </w:p>
          <w:p w:rsidR="00AF6F25" w:rsidRPr="00AF6F25" w:rsidRDefault="00AF6F25" w:rsidP="00AF6F25">
            <w:pPr>
              <w:autoSpaceDE w:val="0"/>
              <w:autoSpaceDN w:val="0"/>
              <w:adjustRightInd w:val="0"/>
              <w:jc w:val="both"/>
              <w:rPr>
                <w:rFonts w:ascii="Arial Narrow" w:hAnsi="Arial Narrow" w:cs="Arial"/>
              </w:rPr>
            </w:pP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identification of the end of the CD state is an important step for procedures to determine exhaust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emissions and fuel consumption. Final determination of exhaust emissions and fuel consumption is not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included in this document.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applies to vehicles with the following characteristics.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The vehicles are hybrid-electric road vehicles (HEV) with an internal combustion engine (ICE)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an on-board rechargeable energy storage system (RESS) for vehicle propulsion which is supplied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with electric energy from an external electric power source.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A CD state, in which the electric energy in the RESS from an external electric power source is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consumed, is followed by a charge-sustaining (CS) state in which the fuel energy is consumed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sustaining the electric energy of the RESS.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Only batteries are assumed as the RESS of a vehicle.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The RESS is not charged while driving unless by regenerative braking and/or by generative operation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driven via the ICE.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External charge for the purpose of conditioning of the RESS is not included.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1 Trolleybuses and solar powered vehicles are not included in the scope.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The vehicle is classified as a passenger car or light duty truck, as defined in the relevant regional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applicable driving test (ADT) standard.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For the ICE, only liquid fuels (for example, gasoline and diesel fuel) are used.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2 In the case of vehicles with ICE using other fuel [for example, compressed natural gas (CNG),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hydrogen (H2)], this document can apply except the measurement of consumed fuel; otherwise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measurement method for those using the corresponding fuel can apply.</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The nominal energy of the RESS is at least 2 % of the total energy of consumed fuel over an ADT</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4548-6:2021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Methods of Test For Full Flow Lubricating Oil Filters For Internal Combustion Engines Part 6 Static Burst Pressure Test</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a method of testing full</w:t>
            </w:r>
            <w:r w:rsidRPr="00AF6F25">
              <w:rPr>
                <w:rFonts w:ascii="Cambria Math" w:hAnsi="Cambria Math" w:cs="Cambria Math"/>
              </w:rPr>
              <w:t>‐</w:t>
            </w:r>
            <w:r w:rsidRPr="00AF6F25">
              <w:rPr>
                <w:rFonts w:ascii="Arial Narrow" w:hAnsi="Arial Narrow" w:cs="Arial"/>
              </w:rPr>
              <w:t>flow lubricating oil filters for internal combustion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engines to determine their ability to withstand a static pressure objective and to determine their burst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pressure and the failure mode concerned.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does not apply to filters for use in aeronautical applications or plastic components.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4548-7: 2012</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Methods of Test For Full Flow Lubricating Oil Filters For Internal Combustion Engines Part 7 Vibration Fatigue Test</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4548 specifies a method of testing the constructional integrity of full-flow lubricating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oil filters to withstand engine vibrations. This test is intended for application to spin-on type filters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detachable filters with disposable elements with a maximum flow rate of 100 l/min.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test method is intended for test parts made from materials that do not experience mechanical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property changes within the temperature range experienced in service. The test may be applied to other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filters if thought applicable by agreement between the filter manufacturer and the purchaser.</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15500-12:2012</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Compressed Natural Gas </w:t>
            </w:r>
            <w:proofErr w:type="spellStart"/>
            <w:r w:rsidRPr="00AF6F25">
              <w:rPr>
                <w:rFonts w:ascii="Arial Narrow" w:hAnsi="Arial Narrow" w:cs="Arial"/>
              </w:rPr>
              <w:t>Cng</w:t>
            </w:r>
            <w:proofErr w:type="spellEnd"/>
            <w:r w:rsidRPr="00AF6F25">
              <w:rPr>
                <w:rFonts w:ascii="Arial Narrow" w:hAnsi="Arial Narrow" w:cs="Arial"/>
              </w:rPr>
              <w:t xml:space="preserve"> Fuel System Components Part 12 Pressure Relief Valve </w:t>
            </w:r>
            <w:proofErr w:type="spellStart"/>
            <w:r w:rsidRPr="00AF6F25">
              <w:rPr>
                <w:rFonts w:ascii="Arial Narrow" w:hAnsi="Arial Narrow" w:cs="Arial"/>
              </w:rPr>
              <w:t>Prv</w:t>
            </w:r>
            <w:proofErr w:type="spellEnd"/>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part of ISO 15500 specifies tests and requirements for the pressure relief valve (PRV), a compressed natural gas fuel system component intended for use on the types of motor vehicles defined in ISO 3833. This part of ISO 15500 is applicable to vehicles using natural gas in accordance with ISO 15403-1 (</w:t>
            </w:r>
            <w:proofErr w:type="spellStart"/>
            <w:r w:rsidRPr="00AF6F25">
              <w:rPr>
                <w:rFonts w:ascii="Arial Narrow" w:hAnsi="Arial Narrow" w:cs="Arial"/>
              </w:rPr>
              <w:t>monofuel</w:t>
            </w:r>
            <w:proofErr w:type="spellEnd"/>
            <w:r w:rsidRPr="00AF6F25">
              <w:rPr>
                <w:rFonts w:ascii="Arial Narrow" w:hAnsi="Arial Narrow" w:cs="Arial"/>
              </w:rPr>
              <w:t xml:space="preserve">, bi-fuel, or dual-fuel applications). It is not applicable to the following: a) liquefied natural gas (LNG) fuel system components located upstream of, and including, the vaporizer; b) fuel containers; c) stationary gas engines; d) container mounting hardware; e) electronic fuel management; f) </w:t>
            </w:r>
            <w:proofErr w:type="spellStart"/>
            <w:r w:rsidRPr="00AF6F25">
              <w:rPr>
                <w:rFonts w:ascii="Arial Narrow" w:hAnsi="Arial Narrow" w:cs="Arial"/>
              </w:rPr>
              <w:t>refuelling</w:t>
            </w:r>
            <w:proofErr w:type="spellEnd"/>
            <w:r w:rsidRPr="00AF6F25">
              <w:rPr>
                <w:rFonts w:ascii="Arial Narrow" w:hAnsi="Arial Narrow" w:cs="Arial"/>
              </w:rPr>
              <w:t xml:space="preserve"> receptacles. NOTE 1 It is recognized that miscellaneous components not specifically covered herein can be examined to meet the criteria of this part of ISO 15500 and tested according to the appropriate functional tests. NOTE 2 All references to pressure in this part of ISO 15500 are to be considered gauge pressures unless otherwise specified. NOTE 3 This part of ISO 15500 is based upon a service pressure for natural gas as a fuel of 20 MPa [200 bar1)] settled at 15 °C. Other service pressures can be accommodated by adjusting the pressure by the appropriate factor (ratio). For example, a 25 MPa (250 bar) service pressure system will require pressures to be multiplied by 1,25.</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17479:2013/AMD 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Motorcycles Measurement Methods For Gaseous Exhaust Emissions During Inspection Or Maintenance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AMENDMENT 1 7.1 a) Add the following sentence at the end of the paragraph: Alternatively, the motorcycle may be warmed up by running at least 15 min or at least 5 km under normal urban traffic conditions;</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23274-1:2019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Hybrid Electric Road Vehicles Exhaust Emissions and Fuel Consumption Measurements Part 1 Non Externally Chargeable Vehicles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a chassis dynamometer test procedure to measure the exhaust emissions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electric energy and fuel consumption for the vehicles.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applies to vehicles with the following characteristics: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vehicles classified as passenger cars or light duty trucks, as defined in the relevant regional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applicable driving test (ADT) standard;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the nominal energy of the rechargeable energy storage system (RESS) is at least 2 % of the total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energy consumption over an ADT;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internal combustion engine (ICE) only using liquid fuels (for example, gasoline and diesel fuel).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NOTE </w:t>
            </w:r>
            <w:proofErr w:type="gramStart"/>
            <w:r w:rsidRPr="00AF6F25">
              <w:rPr>
                <w:rFonts w:ascii="Arial Narrow" w:hAnsi="Arial Narrow" w:cs="Arial"/>
              </w:rPr>
              <w:t>In</w:t>
            </w:r>
            <w:proofErr w:type="gramEnd"/>
            <w:r w:rsidRPr="00AF6F25">
              <w:rPr>
                <w:rFonts w:ascii="Arial Narrow" w:hAnsi="Arial Narrow" w:cs="Arial"/>
              </w:rPr>
              <w:t xml:space="preserve"> the case of the vehicles with ICE using other fuel [for example, compressed natural gas (CNG),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liquefied petroleum gas (LPG), hydrogen], this document can apply except the measurement of consumed fuel;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otherwise the measurement method for those using the corresponding fuel can apply.</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proposes procedures for correcting the measured emissions and fuel consumption of</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hybrid-electric vehicles (HEVs), in order to obtain the values when the state of charge (SOC) of the RESS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does not remain the same between the beginning and the end of an ADT.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can also be applied to measurement procedures for exhaust emissions and fuel consumption of</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externally chargeable HEVs when a vehicle is not externally charged and operated only in the charge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sustaining (CS) state, as described in ISO 23274-2.</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4548-5:2020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Methods of Test For Full Flow Lubricating Oil Filters For Internal Combustion Engines Part 5 Test For Cold Start Simulation and Hydraulic Pulse Durability</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a method of testing the ability of full-flow lubricating oil filters manufactured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with metal pressure vessel materials for internal combustion engines to withstand an internal pressure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surge. Normally surges occur when an engine is started from cold, and cyclic internal pressure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variations experienced during operation.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These tests are intended for application to spin-on type filters and detachable filters with disposable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elements.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tests can be applied to other filters, if thought applicable, by agreement between the filter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manufacturer and the purchaser.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This test is not intended to replace simulated environmental testing (e.g. at very low temperatures). If</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such testing is required, it will be the subject of negotiation between the supplier and customer.</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17409:2020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Electrically Propelled Road Vehicles Connection To An External Electric Power Supply Safety Requirements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electric safety requirements for conductive connection of electrically propelled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to external electric circuits. External electric circuits include external electric power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supplies and external electric loads. This document provides requirements for the charging modes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2, 3, 4, as defined in IEC 61851-1, and reverse power transfer. For mode 4, this document provides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requirements regarding the connection to an isolated DC EV charging station according to IEC 61851-23.</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1 This edition does not provide requirements for mode 1.</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2 External electric circuits are not part of the vehicle.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applies to the on-board sections of vehicle power supply circuits. It applies also to</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dedicated power supply control functions used for the connection of the vehicle to an external electric</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circuit.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does not provide comprehensive safety information for manufacturing, maintenance and repair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personnel.</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3 ISO 6469-3 provides general electrical safety requirements for electrically propelled road vehicles.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4 With this edition of this document the limitation of y-capacitance for protection against electric shock</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under single failure conditions is no longer applicable as a fault protection provision when the vehicle has a</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conductive DC connection to an external electric circuit.</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28981:2009AMD 1:2015</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Mopeds Methods For Setting The Running Resistance On A Chassis Dynamometer </w:t>
            </w:r>
            <w:proofErr w:type="spellStart"/>
            <w:r w:rsidRPr="00AF6F25">
              <w:rPr>
                <w:rFonts w:ascii="Arial Narrow" w:hAnsi="Arial Narrow" w:cs="Arial"/>
              </w:rPr>
              <w:t>Ammendment</w:t>
            </w:r>
            <w:proofErr w:type="spellEnd"/>
            <w:r w:rsidRPr="00AF6F25">
              <w:rPr>
                <w:rFonts w:ascii="Arial Narrow" w:hAnsi="Arial Narrow" w:cs="Arial"/>
              </w:rPr>
              <w:t xml:space="preserve"> 1</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AMENDMENT 1 Page 4, 7.2 Ambient conditions for the road test Replace the third paragraph with the following: Standard ambient conditions shall be as follows: — pressure, p0: 100 </w:t>
            </w:r>
            <w:proofErr w:type="spellStart"/>
            <w:r w:rsidRPr="00AF6F25">
              <w:rPr>
                <w:rFonts w:ascii="Arial Narrow" w:hAnsi="Arial Narrow" w:cs="Arial"/>
              </w:rPr>
              <w:t>kPa</w:t>
            </w:r>
            <w:proofErr w:type="spellEnd"/>
            <w:r w:rsidRPr="00AF6F25">
              <w:rPr>
                <w:rFonts w:ascii="Arial Narrow" w:hAnsi="Arial Narrow" w:cs="Arial"/>
              </w:rPr>
              <w:t>; — temperature, T0: 293 K; — relative air density, d0: 0,9197; — air volumetric mass, ρ0: 1,189 kg/m3.</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6727:2021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Motorcycles Symbols For Controls Indicators and Tell Tales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symbols, i.e. conventional signs, used to identify certain controls, indicators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and tell-tales on a motorcycle/moped1) and to facilitate their usage.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document also indicates the </w:t>
            </w:r>
            <w:proofErr w:type="spellStart"/>
            <w:r w:rsidRPr="00AF6F25">
              <w:rPr>
                <w:rFonts w:ascii="Arial Narrow" w:hAnsi="Arial Narrow" w:cs="Arial"/>
              </w:rPr>
              <w:t>colours</w:t>
            </w:r>
            <w:proofErr w:type="spellEnd"/>
            <w:r w:rsidRPr="00AF6F25">
              <w:rPr>
                <w:rFonts w:ascii="Arial Narrow" w:hAnsi="Arial Narrow" w:cs="Arial"/>
              </w:rPr>
              <w:t xml:space="preserve"> of possible optical tell-tales which warn the rider of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operation or malfunctioning of the related devices and equipment.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those controls, indicators and tell-tales, which, when used, are fitted 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instrument panel or in the immediate vicinity of the motorcycle/moped rider.</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9021:2021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Motorcycles Controls Types Positions and Functions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describes the types, positions and functions of the rider-operated controls on a</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motorcycle/moped1), in order to facilitate use.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Annex A specifies controls, indicators and tell-tales for which identification is obligatory and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appropriate graphical symbols. Annex B provides the information for applying for electrically propelled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motorcycle/moped1).</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applies to those controls which, when fitted, are commonly used by the rider of a</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motorcycle/moped.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definition or specification of a control does not signify the mandatory presence of each and every</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control listed in this document on a vehicle.</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12353-1:2020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Traffic Accident Analysis Part 1 Vocabulary</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establishes a vocabulary relating to the investigation and analysis of road traffic</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accidents and to the application of accident data.</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also lists other, commonly used terms in the domain.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Additional terms and definitions, related to configuration aspects of road vehicle collisions, can be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found in ISO 6813.</w:t>
            </w:r>
          </w:p>
        </w:tc>
      </w:tr>
      <w:tr w:rsidR="00AF6F25" w:rsidRPr="00AF6F25" w:rsidTr="00B32D9D">
        <w:trPr>
          <w:trHeight w:val="29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13325:2019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Tyres Coast By Methods For Measurement of Tyre To Road Sound Emission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methods for measuring tyre-to-road sound emissions from tyres fitted on a</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motor vehicle under coast-by conditions, i.e. when the vehicle is in free-rolling, non-powered operation.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is typically achieved by putting the transmission in the neutral or equivalent position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switching off the engine as well as all auxiliary systems not necessary for safe driving.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passenger cars and commercial vehicles as defined in ISO 3833. It is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 intended to be used to determine the sound contribution of tyres of vehicles running in powered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condition nor for the determination of traffic sound nuisance at a given location.</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15005:2017</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Ergonomic Aspects of Transport Information and Control Systems Dialogue Management Principles and Compliance Procedures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ergonomic principles for the design of the dialogues that take place between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driver of a road vehicle and the vehicle’s transport information and control systems (TICS) while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vehicle is in motion. It also specifies compliance verification conditions for the requirements related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to these principles.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TICS consisting of either single or multiple devices, which can be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either independent or interconnected. It is not applicable to TICS without dialogues, TICS failures or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malfunctions, or controls or displays used for non-TICS functions.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 requirements and recommendations of this document can be reconsidered for drivers with</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special needs.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15037-1:2019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Vehicle Dynamics Test Methods Part 1 General Conditions For Passenger Cars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general conditions that apply when vehicle dynamics properties are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determined according to ISO test methods.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 particular, it specifies general conditions for: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variables;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measuring equipment and data processing;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environment (test track and wind velocity);</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test vehicle preparation (tuning and loading);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initial driving;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test reports (general data and test conditions).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These items are of general significance, regardless of the specific vehicle dynamics test method. They</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apply when vehicle dynamics properties are determined, unless other conditions are required by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standard which is actually used for the test method.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applicable to passenger cars as defined in ISO 3833 and light trucks.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NOTE The general conditions defined in existing vehicle dynamics standards are valid until a reference to</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included.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is cited in many other standards without a dated reference. In the course of its revision,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no change in the numbering of clauses, tables and figures is anticipated.</w:t>
            </w:r>
          </w:p>
          <w:p w:rsidR="00AF6F25" w:rsidRPr="00AF6F25" w:rsidRDefault="00AF6F25" w:rsidP="00AF6F25">
            <w:pPr>
              <w:autoSpaceDE w:val="0"/>
              <w:autoSpaceDN w:val="0"/>
              <w:adjustRightInd w:val="0"/>
              <w:jc w:val="both"/>
              <w:rPr>
                <w:rFonts w:ascii="Arial Narrow" w:hAnsi="Arial Narrow" w:cs="Arial"/>
              </w:rPr>
            </w:pP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1585:2020</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Engine Test Code Net Power</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a method for testing engines designed for automotive vehicles. It applies to the</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evaluation of their performance with a view, in particular to presenting curves of power and specific</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fuel consumption at full load as a function of engine speed.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It applies only to net power assessment.</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concerns internal combustion engines used for propulsion of passenger cars, trucks and</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other motor vehicles, excluding motorcycles, mopeds and agricultural tractors normally travelling on</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roads, and included in one of the following categories: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reciprocating internal combustion engines (spark-ignition or compression-ignition) but excluding</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free piston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rotary piston engines.</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These engines can be naturally aspirated or pressure-charged, either using a mechanical supercharger</w:t>
            </w:r>
          </w:p>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or turbocharger.</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1728: 2006</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Pneumatic Braking Connections Between Motor Vehicles and Towed Vehicles Interchangeability</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International Standard specifies the requirements which ensure interchangeability of the pneumatic braking connections between motor vehicles and towed vehicles. It concerns vehicle combinations equipped with pneumatic braking systems with two lines: one control line and one supply line. </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2575:2021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Road Vehicles Symbols For Controls Indicators and Tell Tales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This document specifies symbols (i.e. conventional signs) for use on controls, indicators and tell-tales applying to passenger cars, light and heavy commercial vehicles and buses, to ensure identification and facilitate use. This document additionally describes the purpose and application for the symbols. It also indicates the </w:t>
            </w:r>
            <w:proofErr w:type="spellStart"/>
            <w:r w:rsidRPr="00AF6F25">
              <w:rPr>
                <w:rFonts w:ascii="Arial Narrow" w:hAnsi="Arial Narrow" w:cs="Arial"/>
              </w:rPr>
              <w:t>colours</w:t>
            </w:r>
            <w:proofErr w:type="spellEnd"/>
            <w:r w:rsidRPr="00AF6F25">
              <w:rPr>
                <w:rFonts w:ascii="Arial Narrow" w:hAnsi="Arial Narrow" w:cs="Arial"/>
              </w:rPr>
              <w:t xml:space="preserve"> of possible optical tell-tales, which inform the driver of either correct operation or malfunctioning of the related devices</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3780:2009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 xml:space="preserve">Road Vehicles World Manufacturer Identifier </w:t>
            </w:r>
            <w:proofErr w:type="spellStart"/>
            <w:r w:rsidRPr="00AF6F25">
              <w:rPr>
                <w:rFonts w:ascii="Arial Narrow" w:hAnsi="Arial Narrow" w:cs="Arial"/>
              </w:rPr>
              <w:t>Wmi</w:t>
            </w:r>
            <w:proofErr w:type="spellEnd"/>
            <w:r w:rsidRPr="00AF6F25">
              <w:rPr>
                <w:rFonts w:ascii="Arial Narrow" w:hAnsi="Arial Narrow" w:cs="Arial"/>
              </w:rPr>
              <w:t xml:space="preserve"> Code</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International Standard specifies the content and structure of an identifier in order to establish, on a worldwide basis, the identification of road vehicle manufacturers. The world manufacturer identifier (WMI) constitutes the first section of the vehicle identification number (VIN) described in ISO 3779. This International Standard applies to motor vehicles, towed vehicles, motorcycles and mopeds as defined in ISO 3833.</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numPr>
                <w:ilvl w:val="0"/>
                <w:numId w:val="5"/>
              </w:numPr>
              <w:autoSpaceDE w:val="0"/>
              <w:autoSpaceDN w:val="0"/>
              <w:adjustRightInd w:val="0"/>
              <w:jc w:val="both"/>
              <w:rPr>
                <w:rFonts w:ascii="Arial Narrow" w:hAnsi="Arial Narrow" w:cs="Arial"/>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9413:2019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Tyre Valves Dimensions and Designation</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defines the essential dimensions and the designation of tube valves and tubeless valves. Annex B gives the correspondence between ISO designations and the designations established by: — TRA (Tire and Rim Association Inc.); — ETRTO (European Tyre and Rim Technical Organisation); — JATMA (The Japan Automotive Tyre Manufacturer's Association, Inc.). In the remainder of this document, all the dimensions are given at their nominal value except in cases where the tolerances are indicated. The threaded length of valve stems for which no thread length is specified is the maximum possible length. NOTE The drawings for valves are not all at the same scale.</w:t>
            </w:r>
          </w:p>
        </w:tc>
      </w:tr>
      <w:tr w:rsidR="00AF6F25" w:rsidRPr="00AF6F25" w:rsidTr="00B32D9D">
        <w:trPr>
          <w:trHeight w:val="580"/>
        </w:trPr>
        <w:tc>
          <w:tcPr>
            <w:tcW w:w="846"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63</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KS ISO 18669-1:2021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Internal combustion engines — Piston pins — Part 1: General specifications</w:t>
            </w:r>
          </w:p>
        </w:tc>
        <w:tc>
          <w:tcPr>
            <w:tcW w:w="3885" w:type="dxa"/>
            <w:tcBorders>
              <w:top w:val="single" w:sz="4" w:space="0" w:color="000000"/>
              <w:left w:val="single" w:sz="4" w:space="0" w:color="000000"/>
              <w:bottom w:val="single" w:sz="4" w:space="0" w:color="000000"/>
              <w:right w:val="single" w:sz="4" w:space="0" w:color="000000"/>
            </w:tcBorders>
          </w:tcPr>
          <w:p w:rsidR="00AF6F25" w:rsidRPr="00AF6F25" w:rsidRDefault="00AF6F25" w:rsidP="00AF6F25">
            <w:pPr>
              <w:autoSpaceDE w:val="0"/>
              <w:autoSpaceDN w:val="0"/>
              <w:adjustRightInd w:val="0"/>
              <w:jc w:val="both"/>
              <w:rPr>
                <w:rFonts w:ascii="Arial Narrow" w:hAnsi="Arial Narrow" w:cs="Arial"/>
              </w:rPr>
            </w:pPr>
            <w:r w:rsidRPr="00AF6F25">
              <w:rPr>
                <w:rFonts w:ascii="Arial Narrow" w:hAnsi="Arial Narrow" w:cs="Arial"/>
              </w:rPr>
              <w:t>This document specifies the essential dimensional characteristics of piston pins with a nominal outer diameter from 8 mm up to and including 100 mm, for reciprocating internal combustion engines for road vehicles and other applications. In certain applications, except road vehicles, and provided that mutual agreement is made between the customer and the manufacturer, this document can be used with suitable modifications. In addition, it establishes a vocabulary, a pin-type classification, material description based on mechanical properties, common features and quality requirements. The use of this document can require a manufacturer and customer statistical process control agreement.</w:t>
            </w:r>
          </w:p>
        </w:tc>
      </w:tr>
    </w:tbl>
    <w:p w:rsidR="007D7BDE" w:rsidRPr="00556197" w:rsidRDefault="007D7BDE" w:rsidP="00AF6F25">
      <w:pPr>
        <w:autoSpaceDE w:val="0"/>
        <w:autoSpaceDN w:val="0"/>
        <w:adjustRightInd w:val="0"/>
        <w:jc w:val="both"/>
        <w:rPr>
          <w:rFonts w:ascii="Arial Narrow" w:hAnsi="Arial Narrow" w:cs="Arial"/>
        </w:rPr>
      </w:pPr>
    </w:p>
    <w:p w:rsidR="00AF6F25" w:rsidRDefault="00AF6F25"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05A" w:rsidRDefault="0043405A" w:rsidP="007D7BDE">
      <w:r>
        <w:separator/>
      </w:r>
    </w:p>
  </w:endnote>
  <w:endnote w:type="continuationSeparator" w:id="0">
    <w:p w:rsidR="0043405A" w:rsidRDefault="0043405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532" w:rsidRDefault="006745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579C7">
      <w:rPr>
        <w:rStyle w:val="PageNumber"/>
        <w:b/>
        <w:noProof/>
      </w:rPr>
      <w:t>16</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579C7">
      <w:rPr>
        <w:rStyle w:val="PageNumber"/>
        <w:noProof/>
      </w:rPr>
      <w:t>16</w:t>
    </w:r>
    <w:r w:rsidRPr="00FF25C7">
      <w:rPr>
        <w:rStyle w:val="PageNumber"/>
      </w:rPr>
      <w:fldChar w:fldCharType="end"/>
    </w:r>
  </w:p>
  <w:p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F6F2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F6F25">
      <w:rPr>
        <w:rStyle w:val="PageNumber"/>
        <w:noProof/>
      </w:rPr>
      <w:t>16</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05A" w:rsidRDefault="0043405A" w:rsidP="007D7BDE">
      <w:r>
        <w:separator/>
      </w:r>
    </w:p>
  </w:footnote>
  <w:footnote w:type="continuationSeparator" w:id="0">
    <w:p w:rsidR="0043405A" w:rsidRDefault="0043405A"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532" w:rsidRDefault="0067453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53349C6"/>
    <w:multiLevelType w:val="multilevel"/>
    <w:tmpl w:val="F2763AEC"/>
    <w:lvl w:ilvl="0">
      <w:start w:val="1"/>
      <w:numFmt w:val="decimal"/>
      <w:pStyle w:val="ListParagraphCha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4"/>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579C7"/>
    <w:rsid w:val="00161F8F"/>
    <w:rsid w:val="001A16FD"/>
    <w:rsid w:val="001D112C"/>
    <w:rsid w:val="002236B8"/>
    <w:rsid w:val="0023262C"/>
    <w:rsid w:val="00241E4B"/>
    <w:rsid w:val="00242755"/>
    <w:rsid w:val="00282D9D"/>
    <w:rsid w:val="002E03CE"/>
    <w:rsid w:val="002E12DF"/>
    <w:rsid w:val="002E3F7C"/>
    <w:rsid w:val="002F40D2"/>
    <w:rsid w:val="00350BFA"/>
    <w:rsid w:val="0037216D"/>
    <w:rsid w:val="003A2DFD"/>
    <w:rsid w:val="003C4A6C"/>
    <w:rsid w:val="003F2C4E"/>
    <w:rsid w:val="003F66A0"/>
    <w:rsid w:val="00402707"/>
    <w:rsid w:val="0043405A"/>
    <w:rsid w:val="00452734"/>
    <w:rsid w:val="00506AFA"/>
    <w:rsid w:val="00550AC0"/>
    <w:rsid w:val="005965CF"/>
    <w:rsid w:val="005A4076"/>
    <w:rsid w:val="005D3E09"/>
    <w:rsid w:val="005E2F92"/>
    <w:rsid w:val="00674532"/>
    <w:rsid w:val="00680852"/>
    <w:rsid w:val="006A0767"/>
    <w:rsid w:val="00703562"/>
    <w:rsid w:val="00703CB1"/>
    <w:rsid w:val="007244A4"/>
    <w:rsid w:val="00756E07"/>
    <w:rsid w:val="00766B20"/>
    <w:rsid w:val="007D5546"/>
    <w:rsid w:val="007D7BDE"/>
    <w:rsid w:val="00810E69"/>
    <w:rsid w:val="008572A5"/>
    <w:rsid w:val="00877DFF"/>
    <w:rsid w:val="00893D7E"/>
    <w:rsid w:val="008B3FDD"/>
    <w:rsid w:val="00A15AB7"/>
    <w:rsid w:val="00A80CFF"/>
    <w:rsid w:val="00A87B44"/>
    <w:rsid w:val="00AB16F3"/>
    <w:rsid w:val="00AF6F25"/>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0A11"/>
    <w:rsid w:val="00F87FFB"/>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nkathab@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834FEB3E1FC44B95698A87D686369" ma:contentTypeVersion="6" ma:contentTypeDescription="Create a new document." ma:contentTypeScope="" ma:versionID="1032243f69c6c4bb4412093d1ecc930a">
  <xsd:schema xmlns:xsd="http://www.w3.org/2001/XMLSchema" xmlns:xs="http://www.w3.org/2001/XMLSchema" xmlns:p="http://schemas.microsoft.com/office/2006/metadata/properties" xmlns:ns2="54504a35-789e-4d8d-b8c2-abbc90fba5fd" xmlns:ns3="989894b8-112b-43d2-85cf-ceb42a5602fa" targetNamespace="http://schemas.microsoft.com/office/2006/metadata/properties" ma:root="true" ma:fieldsID="bc007724e1e817ef14033439d568e702" ns2:_="" ns3:_="">
    <xsd:import namespace="54504a35-789e-4d8d-b8c2-abbc90fba5fd"/>
    <xsd:import namespace="989894b8-112b-43d2-85cf-ceb42a5602f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04a35-789e-4d8d-b8c2-abbc90fba5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9894b8-112b-43d2-85cf-ceb42a5602f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4504a35-789e-4d8d-b8c2-abbc90fba5fd">
      <UserInfo>
        <DisplayName/>
        <AccountId xsi:nil="true"/>
        <AccountType/>
      </UserInfo>
    </SharedWithUsers>
  </documentManagement>
</p:properties>
</file>

<file path=customXml/itemProps1.xml><?xml version="1.0" encoding="utf-8"?>
<ds:datastoreItem xmlns:ds="http://schemas.openxmlformats.org/officeDocument/2006/customXml" ds:itemID="{C33436F8-D6AF-4D02-AC37-90AFC1342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04a35-789e-4d8d-b8c2-abbc90fba5fd"/>
    <ds:schemaRef ds:uri="989894b8-112b-43d2-85cf-ceb42a560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4504a35-789e-4d8d-b8c2-abbc90fba5f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6559</Words>
  <Characters>37391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Nkatha Betty</cp:lastModifiedBy>
  <cp:revision>2</cp:revision>
  <dcterms:created xsi:type="dcterms:W3CDTF">2022-03-29T07:39:00Z</dcterms:created>
  <dcterms:modified xsi:type="dcterms:W3CDTF">2022-03-29T07:39:00Z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0x010100ADA834FEB3E1FC44B95698A87D686369</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