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r>
        <w:t>Toutefois, l'**absence de tout prospect en cours de négociation avancée ou de contrat</w:t>
      </w:r>
    </w:p>
    <w:p>
      <w:r>
        <w:t>signé</w:t>
      </w:r>
      <w:r>
        <w:rPr>
          <w:b/>
        </w:rPr>
        <w:t xml:space="preserve"> à l'issue de la </w:t>
      </w:r>
      <w:r>
        <w:t>période initiale de trois (3) mois** (art. 6.1) constituera un</w:t>
      </w:r>
    </w:p>
    <w:p>
      <w:r>
        <w:t xml:space="preserve">motif légitime pour la Société de </w:t>
      </w:r>
      <w:r>
        <w:rPr>
          <w:b/>
        </w:rPr>
        <w:t>ne pas reconduire le contrat</w:t>
      </w:r>
      <w:r>
        <w:t>, sans que cette</w:t>
      </w:r>
    </w:p>
    <w:p>
      <w:r>
        <w:t>décision puisse être qualifiée de rupture fautive ni ouvrir droit à indemnité. La Société</w:t>
      </w:r>
    </w:p>
    <w:p>
      <w:r>
        <w:t xml:space="preserve">en informera la Prestataire par écrit au plus tard </w:t>
      </w:r>
      <w:r>
        <w:rPr>
          <w:b/>
        </w:rPr>
        <w:t>quinze (15) jours avant le terme</w:t>
      </w:r>
      <w:r>
        <w:t xml:space="preserve"> de</w:t>
      </w:r>
    </w:p>
    <w:p>
      <w:r>
        <w:t>la période initiale ; en l'absence de notification dans ce délai, le contrat se reconduit</w:t>
      </w:r>
    </w:p>
    <w:p>
      <w:r>
        <w:t>dans les conditions de l'art. 6.2.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Tous les montants — honoraires fixes et commission de</w:t>
      </w:r>
    </w:p>
    <w:p>
      <w:r>
        <w:t xml:space="preserve">performance — sont </w:t>
      </w:r>
      <w:r>
        <w:rPr>
          <w:b/>
        </w:rPr>
        <w:t>payés exclusivement en ariary (Ar)</w:t>
      </w:r>
      <w:r>
        <w:t>. La commission est exprimée en</w:t>
      </w:r>
    </w:p>
    <w:p>
      <w:r>
        <w:t>euros à titre indicatif uniquement ; elle est **convertie en ariary au taux de change</w:t>
      </w:r>
    </w:p>
    <w:p>
      <w:r>
        <w:t>officiel EUR/MGA publié par la Banque Centrale de Madagascar (BCM) à la date d'émission</w:t>
      </w:r>
    </w:p>
    <w:p>
      <w:r>
        <w:t>de la facture** correspondante. Aucun paiement n'est effectué en euros.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le moyen de paiement retenu (virement bancaire, mobile money</w:t>
      </w:r>
    </w:p>
    <w:p>
      <w:r>
        <w:t>ou autre) ainsi que les coordonnées nécessaires au règlement sont **indiqués par la</w:t>
      </w:r>
    </w:p>
    <w:p>
      <w:r>
        <w:t>Prestataire sur chaque facture**. La Société effectue le paiement selon ces instructions.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**reconduit</w:t>
      </w:r>
    </w:p>
    <w:p>
      <w:r>
        <w:t>tacitement** pour des périodes successives d'un (1) mois, tant qu'aucune Partie ne l'a</w:t>
      </w:r>
    </w:p>
    <w:p>
      <w:r>
        <w:t>résilié dans les conditions de l'art. 6.3.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sept (7) jours</w:t>
      </w:r>
      <w:r>
        <w:t xml:space="preserve"> après mise en demeure écrite restée sans effet, l'autre Partie</w:t>
      </w:r>
    </w:p>
    <w:p>
      <w:r>
        <w:t>peut 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des marchés français et canadien**.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aux marchés</w:t>
      </w:r>
    </w:p>
    <w:p>
      <w:r>
        <w:t xml:space="preserve">français et canadien, sont </w:t>
      </w:r>
      <w:r>
        <w:rPr>
          <w:b/>
        </w:rPr>
        <w:t>proportionnées</w:t>
      </w:r>
      <w:r>
        <w:t xml:space="preserve"> à la protection des intérêts légitimes de</w:t>
      </w:r>
    </w:p>
    <w:p>
      <w:r>
        <w:t xml:space="preserve">la Société et </w:t>
      </w:r>
      <w:r>
        <w:rPr>
          <w:b/>
        </w:rPr>
        <w:t>ne privent pas</w:t>
      </w:r>
      <w:r>
        <w:t xml:space="preserve"> la Prestataire d'exercer son activité auprès d'autres</w:t>
      </w:r>
    </w:p>
    <w:p>
      <w:r>
        <w:t>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