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b/>
          <w:color w:val="1F2D50"/>
          <w:sz w:val="34"/>
        </w:rPr>
        <w:t>Engagement de confidentialité, de non-sollicitation et de cession des livrables</w:t>
      </w:r>
    </w:p>
    <w:p>
      <w:pPr>
        <w:spacing w:after="200"/>
        <w:jc w:val="center"/>
      </w:pPr>
      <w:r>
        <w:rPr>
          <w:color w:val="6B7280"/>
          <w:sz w:val="24"/>
        </w:rPr>
        <w:t>Consultant / Business Developer</w:t>
      </w:r>
    </w:p>
    <w:p>
      <w:pPr>
        <w:spacing w:before="40" w:after="40"/>
        <w:pBdr>
          <w:bottom w:val="single" w:sz="6" w:space="1" w:color="C7CCD6"/>
        </w:pBdr>
      </w:pPr>
    </w:p>
    <w:p>
      <w:pPr>
        <w:spacing w:before="200"/>
      </w:pPr>
      <w:r>
        <w:rPr>
          <w:b/>
          <w:color w:val="1F2D50"/>
          <w:sz w:val="25"/>
        </w:rPr>
        <w:t>Entre les soussignés</w:t>
      </w:r>
    </w:p>
    <w:p>
      <w:r>
        <w:rPr>
          <w:b/>
        </w:rPr>
        <w:t>La Société</w:t>
      </w:r>
      <w:r>
        <w:t xml:space="preserve"> : </w:t>
      </w:r>
      <w:r>
        <w:rPr>
          <w:b/>
        </w:rPr>
        <w:t>VJUS</w:t>
      </w:r>
      <w:r>
        <w:t xml:space="preserve">, société de droit malgache, NIF </w:t>
      </w:r>
      <w:r>
        <w:rPr>
          <w:b/>
        </w:rPr>
        <w:t>6018198778</w:t>
      </w:r>
      <w:r>
        <w:t>,</w:t>
      </w:r>
    </w:p>
    <w:p>
      <w:r>
        <w:t xml:space="preserve">STAT </w:t>
      </w:r>
      <w:r>
        <w:rPr>
          <w:b/>
        </w:rPr>
        <w:t>74908 11 2023 0 06077</w:t>
      </w:r>
      <w:r>
        <w:t xml:space="preserve">, RCS </w:t>
      </w:r>
      <w:r>
        <w:rPr>
          <w:b/>
        </w:rPr>
        <w:t>102071032469</w:t>
      </w:r>
      <w:r>
        <w:t>, dont le siège est sis à</w:t>
      </w:r>
    </w:p>
    <w:p>
      <w:r>
        <w:t>Antananarivo, Madagascar — Lot IIE 21 A ter, représentée par</w:t>
      </w:r>
    </w:p>
    <w:p>
      <w:r>
        <w:rPr>
          <w:b/>
        </w:rPr>
        <w:t>Valérien Rakotosalama</w:t>
      </w:r>
      <w:r>
        <w:t xml:space="preserve"> en sa qualité de </w:t>
      </w:r>
      <w:r>
        <w:rPr>
          <w:b/>
        </w:rPr>
        <w:t>Gérant</w:t>
      </w:r>
    </w:p>
    <w:p>
      <w:r>
        <w:t xml:space="preserve">(ci-après « </w:t>
      </w:r>
      <w:r>
        <w:rPr>
          <w:b/>
        </w:rPr>
        <w:t>la Société</w:t>
      </w:r>
      <w:r>
        <w:t xml:space="preserve"> » ou « </w:t>
      </w:r>
      <w:r>
        <w:rPr>
          <w:b/>
        </w:rPr>
        <w:t>VJUS</w:t>
      </w:r>
      <w:r>
        <w:t xml:space="preserve"> »).</w:t>
      </w:r>
    </w:p>
    <w:p>
      <w:r>
        <w:rPr>
          <w:b/>
        </w:rPr>
        <w:t>VJUS</w:t>
      </w:r>
      <w:r>
        <w:t xml:space="preserve"> exploite son activité sous le </w:t>
      </w:r>
      <w:r>
        <w:rPr>
          <w:b/>
        </w:rPr>
        <w:t>nom commercial « Salverys »</w:t>
      </w:r>
      <w:r>
        <w:t>. « Salverys »</w:t>
      </w:r>
    </w:p>
    <w:p>
      <w:r>
        <w:t xml:space="preserve">est une </w:t>
      </w:r>
      <w:r>
        <w:rPr>
          <w:b/>
        </w:rPr>
        <w:t>marque / un nom commercial de VJUS</w:t>
      </w:r>
      <w:r>
        <w:t xml:space="preserve"> et **ne constitue pas une entité</w:t>
      </w:r>
    </w:p>
    <w:p>
      <w:r>
        <w:t>juridique distincte** : le seul cocontractant au titre du présent engagement est</w:t>
      </w:r>
    </w:p>
    <w:p>
      <w:r>
        <w:rPr>
          <w:b/>
        </w:rPr>
        <w:t>VJUS</w:t>
      </w:r>
      <w:r>
        <w:t>.</w:t>
      </w:r>
    </w:p>
    <w:p>
      <w:r>
        <w:rPr>
          <w:b/>
        </w:rPr>
        <w:t>Le Consultant</w:t>
      </w:r>
      <w:r>
        <w:t xml:space="preserve"> : </w:t>
      </w:r>
      <w:r>
        <w:rPr>
          <w:b/>
        </w:rPr>
        <w:t>Vololoniaina Randrianasinoro</w:t>
      </w:r>
      <w:r>
        <w:t>, consultant</w:t>
      </w:r>
    </w:p>
    <w:p>
      <w:r>
        <w:t>indépendant, demeurant **737 bis parcelle 13/74 Tanambao V, Toamasina 501</w:t>
      </w:r>
    </w:p>
    <w:p>
      <w:r>
        <w:t xml:space="preserve">(Madagascar)**, courriel </w:t>
      </w:r>
      <w:r>
        <w:t>randrianasinoro@gmail.com</w:t>
      </w:r>
      <w:r>
        <w:t>,</w:t>
      </w:r>
    </w:p>
    <w:p>
      <w:r>
        <w:t>téléphone +261 32 07 042 29 / +261 34 28 533 24</w:t>
      </w:r>
    </w:p>
    <w:p>
      <w:r>
        <w:t xml:space="preserve">(ci-après « </w:t>
      </w:r>
      <w:r>
        <w:rPr>
          <w:b/>
        </w:rPr>
        <w:t>le Consultant</w:t>
      </w:r>
      <w:r>
        <w:t xml:space="preserve"> »).</w:t>
      </w:r>
    </w:p>
    <w:p>
      <w:r>
        <w:t>Ci-après désignés ensemble « les Parties ».</w:t>
      </w:r>
    </w:p>
    <w:p>
      <w:pPr>
        <w:spacing w:before="40" w:after="40"/>
        <w:pBdr>
          <w:bottom w:val="single" w:sz="6" w:space="1" w:color="C7CCD6"/>
        </w:pBdr>
      </w:pPr>
    </w:p>
    <w:p>
      <w:pPr>
        <w:spacing w:before="200"/>
      </w:pPr>
      <w:r>
        <w:rPr>
          <w:b/>
          <w:color w:val="1F2D50"/>
          <w:sz w:val="25"/>
        </w:rPr>
        <w:t>Préambule</w:t>
      </w:r>
    </w:p>
    <w:p>
      <w:r>
        <w:t>La Société confie au Consultant une **mission de développement commercial (business</w:t>
      </w:r>
    </w:p>
    <w:p>
      <w:r>
        <w:t>development)</w:t>
      </w:r>
      <w:r>
        <w:rPr>
          <w:b/>
        </w:rPr>
        <w:t xml:space="preserve"> pour son propre compte, sous son nom commercial </w:t>
      </w:r>
      <w:r>
        <w:t>Salverys**. À ce titre,</w:t>
      </w:r>
    </w:p>
    <w:p>
      <w:r>
        <w:t>et dès avant le démarrage de la</w:t>
      </w:r>
    </w:p>
    <w:p>
      <w:r>
        <w:t>mission, la Société remet au Consultant des **documents et informations stratégiques</w:t>
      </w:r>
    </w:p>
    <w:p>
      <w:r>
        <w:t>internes** (stratégie commerciale, grille de prix, listes de prospects et de donneurs</w:t>
      </w:r>
    </w:p>
    <w:p>
      <w:r>
        <w:t>d'ordre, CRM, vivier de candidats, séquences et scripts de prospection, éléments</w:t>
      </w:r>
    </w:p>
    <w:p>
      <w:r>
        <w:t>financiers). Le présent engagement encadre la confidentialité de ces informations, la</w:t>
      </w:r>
    </w:p>
    <w:p>
      <w:r>
        <w:t>non-sollicitation des contacts de la Société et la propriété des livrables produits.</w:t>
      </w:r>
    </w:p>
    <w:p>
      <w:r>
        <w:t xml:space="preserve">Le présent engagement est </w:t>
      </w:r>
      <w:r>
        <w:rPr>
          <w:b/>
        </w:rPr>
        <w:t>préalable</w:t>
      </w:r>
      <w:r>
        <w:t xml:space="preserve"> à toute remise de document : sa signature</w:t>
      </w:r>
    </w:p>
    <w:p>
      <w:r>
        <w:t>conditionne l'accès du Consultant aux informations confidentielles.</w:t>
      </w:r>
    </w:p>
    <w:p>
      <w:pPr>
        <w:spacing w:before="200"/>
      </w:pPr>
      <w:r>
        <w:rPr>
          <w:b/>
          <w:color w:val="1F2D50"/>
          <w:sz w:val="25"/>
        </w:rPr>
        <w:t>Article 1 — Objet</w:t>
      </w:r>
    </w:p>
    <w:p>
      <w:r>
        <w:t>Le présent document a pour objet de définir les obligations du Consultant en matière</w:t>
      </w:r>
    </w:p>
    <w:p>
      <w:r>
        <w:t xml:space="preserve">(i) de </w:t>
      </w:r>
      <w:r>
        <w:rPr>
          <w:b/>
        </w:rPr>
        <w:t>confidentialité</w:t>
      </w:r>
      <w:r>
        <w:t xml:space="preserve">, (ii) de </w:t>
      </w:r>
      <w:r>
        <w:rPr>
          <w:b/>
        </w:rPr>
        <w:t>non-sollicitation et non-détournement</w:t>
      </w:r>
      <w:r>
        <w:t>, et</w:t>
      </w:r>
    </w:p>
    <w:p>
      <w:r>
        <w:t xml:space="preserve">(iii) de </w:t>
      </w:r>
      <w:r>
        <w:rPr>
          <w:b/>
        </w:rPr>
        <w:t>cession des livrables</w:t>
      </w:r>
      <w:r>
        <w:t xml:space="preserve"> produits dans le cadre de sa mission.</w:t>
      </w:r>
    </w:p>
    <w:p>
      <w:pPr>
        <w:spacing w:before="200"/>
      </w:pPr>
      <w:r>
        <w:rPr>
          <w:b/>
          <w:color w:val="1F2D50"/>
          <w:sz w:val="25"/>
        </w:rPr>
        <w:t>Article 2 — Informations confidentielles</w:t>
      </w:r>
    </w:p>
    <w:p>
      <w:r>
        <w:t xml:space="preserve">Sont réputées </w:t>
      </w:r>
      <w:r>
        <w:rPr>
          <w:b/>
        </w:rPr>
        <w:t>confidentielles</w:t>
      </w:r>
      <w:r>
        <w:t>, quels qu'en soient la forme et le support, toutes les</w:t>
      </w:r>
    </w:p>
    <w:p>
      <w:r>
        <w:t>informations communiquées par la Société au Consultant ou dont il a connaissance à</w:t>
      </w:r>
    </w:p>
    <w:p>
      <w:r>
        <w:t>l'occasion de sa mission, et notamment, sans que cette liste soit limitative :</w:t>
      </w:r>
    </w:p>
    <w:p>
      <w:pPr>
        <w:pStyle w:val="ListBullet"/>
      </w:pPr>
      <w:r>
        <w:t xml:space="preserve">la </w:t>
      </w:r>
      <w:r>
        <w:rPr>
          <w:b/>
        </w:rPr>
        <w:t>stratégie commerciale et go-to-market</w:t>
      </w:r>
      <w:r>
        <w:t xml:space="preserve"> (niches, marque blanche, séquençage) ;</w:t>
      </w:r>
    </w:p>
    <w:p>
      <w:pPr>
        <w:pStyle w:val="ListBullet"/>
      </w:pPr>
      <w:r>
        <w:t xml:space="preserve">la </w:t>
      </w:r>
      <w:r>
        <w:rPr>
          <w:b/>
        </w:rPr>
        <w:t>grille tarifaire</w:t>
      </w:r>
      <w:r>
        <w:t>, les benchmarks, les conditions et marges (</w:t>
      </w:r>
      <w:r>
        <w:t>PRICING.md</w:t>
      </w:r>
      <w:r>
        <w:t>) ;</w:t>
      </w:r>
    </w:p>
    <w:p>
      <w:pPr>
        <w:pStyle w:val="ListBullet"/>
      </w:pPr>
      <w:r>
        <w:t xml:space="preserve">les </w:t>
      </w:r>
      <w:r>
        <w:rPr>
          <w:b/>
        </w:rPr>
        <w:t>listes de prospects, clients et donneurs d'ordre</w:t>
      </w:r>
      <w:r>
        <w:t>, ainsi que les coordonnées</w:t>
      </w:r>
    </w:p>
    <w:p>
      <w:r>
        <w:t>et notes des décideurs ;</w:t>
      </w:r>
    </w:p>
    <w:p>
      <w:pPr>
        <w:pStyle w:val="ListBullet"/>
      </w:pPr>
      <w:r>
        <w:t xml:space="preserve">le </w:t>
      </w:r>
      <w:r>
        <w:rPr>
          <w:b/>
        </w:rPr>
        <w:t>CRM</w:t>
      </w:r>
      <w:r>
        <w:t xml:space="preserve"> et toute donnée qu'il contient ;</w:t>
      </w:r>
    </w:p>
    <w:p>
      <w:pPr>
        <w:pStyle w:val="ListBullet"/>
      </w:pPr>
      <w:r>
        <w:t xml:space="preserve">le </w:t>
      </w:r>
      <w:r>
        <w:rPr>
          <w:b/>
        </w:rPr>
        <w:t>vivier de candidats</w:t>
      </w:r>
      <w:r>
        <w:t xml:space="preserve"> (identités, coordonnées, évaluations) ;</w:t>
      </w:r>
    </w:p>
    <w:p>
      <w:pPr>
        <w:pStyle w:val="ListBullet"/>
      </w:pPr>
      <w:r>
        <w:t xml:space="preserve">les </w:t>
      </w:r>
      <w:r>
        <w:rPr>
          <w:b/>
        </w:rPr>
        <w:t>séquences, scripts, méthodes et savoir-faire</w:t>
      </w:r>
      <w:r>
        <w:t xml:space="preserve"> de prospection et de closing ;</w:t>
      </w:r>
    </w:p>
    <w:p>
      <w:pPr>
        <w:pStyle w:val="ListBullet"/>
      </w:pPr>
      <w:r>
        <w:t xml:space="preserve">les </w:t>
      </w:r>
      <w:r>
        <w:rPr>
          <w:b/>
        </w:rPr>
        <w:t>éléments financiers</w:t>
      </w:r>
      <w:r>
        <w:t xml:space="preserve"> (prévisionnel, coûts, rémunérations) ;</w:t>
      </w:r>
    </w:p>
    <w:p>
      <w:pPr>
        <w:pStyle w:val="ListBullet"/>
      </w:pPr>
      <w:r>
        <w:t>l'</w:t>
      </w:r>
      <w:r>
        <w:rPr>
          <w:b/>
        </w:rPr>
        <w:t>existence même</w:t>
      </w:r>
      <w:r>
        <w:t xml:space="preserve"> de la relation et le contenu des échanges entre les Parties.</w:t>
      </w:r>
    </w:p>
    <w:p>
      <w:pPr>
        <w:spacing w:before="200"/>
      </w:pPr>
      <w:r>
        <w:rPr>
          <w:b/>
          <w:color w:val="1F2D50"/>
          <w:sz w:val="25"/>
        </w:rPr>
        <w:t>Article 3 — Engagement de confidentialité</w:t>
      </w:r>
    </w:p>
    <w:p>
      <w:r>
        <w:t>Le Consultant s'engage à :</w:t>
      </w:r>
    </w:p>
    <w:p>
      <w:pPr>
        <w:pStyle w:val="ListNumber"/>
      </w:pPr>
      <w:r>
        <w:rPr>
          <w:b/>
        </w:rPr>
        <w:t>ne pas divulguer</w:t>
      </w:r>
      <w:r>
        <w:t xml:space="preserve"> les informations confidentielles à un tiers, sous quelque forme</w:t>
      </w:r>
    </w:p>
    <w:p>
      <w:r>
        <w:t>que ce soit, sans accord écrit préalable de la Société ;</w:t>
      </w:r>
    </w:p>
    <w:p>
      <w:pPr>
        <w:pStyle w:val="ListNumber"/>
      </w:pPr>
      <w:r>
        <w:rPr>
          <w:b/>
        </w:rPr>
        <w:t>ne les utiliser que</w:t>
      </w:r>
      <w:r>
        <w:t xml:space="preserve"> pour les besoins de sa mission, à l'exclusion de tout usage</w:t>
      </w:r>
    </w:p>
    <w:p>
      <w:r>
        <w:t>pour son compte propre ou celui d'un tiers ;</w:t>
      </w:r>
    </w:p>
    <w:p>
      <w:pPr>
        <w:pStyle w:val="ListNumber"/>
      </w:pPr>
      <w:r>
        <w:rPr>
          <w:b/>
        </w:rPr>
        <w:t>les protéger</w:t>
      </w:r>
      <w:r>
        <w:t xml:space="preserve"> avec au moins le même soin que ses propres informations</w:t>
      </w:r>
    </w:p>
    <w:p>
      <w:r>
        <w:t xml:space="preserve">confidentielles, et n'en faire </w:t>
      </w:r>
      <w:r>
        <w:rPr>
          <w:b/>
        </w:rPr>
        <w:t>aucune copie</w:t>
      </w:r>
      <w:r>
        <w:t xml:space="preserve"> non strictement nécessaire à la mission ;</w:t>
      </w:r>
    </w:p>
    <w:p>
      <w:pPr>
        <w:pStyle w:val="ListNumber"/>
      </w:pPr>
      <w:r>
        <w:rPr>
          <w:b/>
        </w:rPr>
        <w:t>restituer ou détruire</w:t>
      </w:r>
      <w:r>
        <w:t>, au choix de la Société, l'ensemble des informations</w:t>
      </w:r>
    </w:p>
    <w:p>
      <w:r>
        <w:t xml:space="preserve">confidentielles et de leurs copies </w:t>
      </w:r>
      <w:r>
        <w:rPr>
          <w:b/>
        </w:rPr>
        <w:t>à la fin de la mission</w:t>
      </w:r>
      <w:r>
        <w:t xml:space="preserve"> ou sur simple demande,</w:t>
      </w:r>
    </w:p>
    <w:p>
      <w:r>
        <w:t>et en attester par écrit si la Société le demande.</w:t>
      </w:r>
    </w:p>
    <w:p>
      <w:pPr>
        <w:spacing w:before="200"/>
      </w:pPr>
      <w:r>
        <w:rPr>
          <w:b/>
          <w:color w:val="1F2D50"/>
          <w:sz w:val="25"/>
        </w:rPr>
        <w:t>Article 4 — Exclusions</w:t>
      </w:r>
    </w:p>
    <w:p>
      <w:r>
        <w:t>L'obligation de confidentialité ne s'applique pas aux informations dont le Consultant</w:t>
      </w:r>
    </w:p>
    <w:p>
      <w:r>
        <w:t xml:space="preserve">prouve qu'elles : (a) étaient </w:t>
      </w:r>
      <w:r>
        <w:rPr>
          <w:b/>
        </w:rPr>
        <w:t>publiques</w:t>
      </w:r>
      <w:r>
        <w:t xml:space="preserve"> au moment de leur communication ou le sont</w:t>
      </w:r>
    </w:p>
    <w:p>
      <w:r>
        <w:t xml:space="preserve">devenues sans manquement de sa part ; (b) étaient </w:t>
      </w:r>
      <w:r>
        <w:rPr>
          <w:b/>
        </w:rPr>
        <w:t>déjà légitimement connues</w:t>
      </w:r>
      <w:r>
        <w:t xml:space="preserve"> de lui</w:t>
      </w:r>
    </w:p>
    <w:p>
      <w:r>
        <w:t xml:space="preserve">avant communication ; (c) ont été </w:t>
      </w:r>
      <w:r>
        <w:rPr>
          <w:b/>
        </w:rPr>
        <w:t>développées de manière indépendante</w:t>
      </w:r>
      <w:r>
        <w:t xml:space="preserve"> sans usage des</w:t>
      </w:r>
    </w:p>
    <w:p>
      <w:r>
        <w:t>informations confidentielles ; ou (d) doivent être divulguées en vertu d'une **obligation</w:t>
      </w:r>
    </w:p>
    <w:p>
      <w:r>
        <w:t>légale ou d'une décision de justice**, le Consultant en informant alors la Société sans</w:t>
      </w:r>
    </w:p>
    <w:p>
      <w:r>
        <w:t>délai.</w:t>
      </w:r>
    </w:p>
    <w:p>
      <w:pPr>
        <w:spacing w:before="200"/>
      </w:pPr>
      <w:r>
        <w:rPr>
          <w:b/>
          <w:color w:val="1F2D50"/>
          <w:sz w:val="25"/>
        </w:rPr>
        <w:t>Article 5 — Non-sollicitation &amp; non-détournement</w:t>
      </w:r>
    </w:p>
    <w:p>
      <w:r>
        <w:t xml:space="preserve">Pendant toute la durée de la mission et pendant </w:t>
      </w:r>
      <w:r>
        <w:rPr>
          <w:b/>
        </w:rPr>
        <w:t>vingt-quatre (24) mois</w:t>
      </w:r>
    </w:p>
    <w:p>
      <w:r>
        <w:t>suivant son terme, le Consultant s'interdit, directement ou indirectement, pour</w:t>
      </w:r>
    </w:p>
    <w:p>
      <w:r>
        <w:t>son compte ou celui d'un tiers :</w:t>
      </w:r>
    </w:p>
    <w:p>
      <w:pPr>
        <w:pStyle w:val="ListBullet"/>
      </w:pPr>
      <w:r>
        <w:t xml:space="preserve">de </w:t>
      </w:r>
      <w:r>
        <w:rPr>
          <w:b/>
        </w:rPr>
        <w:t>solliciter, démarcher ou détourner</w:t>
      </w:r>
      <w:r>
        <w:t xml:space="preserve"> les prospects, clients et </w:t>
      </w:r>
      <w:r>
        <w:rPr>
          <w:b/>
        </w:rPr>
        <w:t>donneurs d'ordre</w:t>
      </w:r>
    </w:p>
    <w:p>
      <w:r>
        <w:t>de la Société dont il a eu connaissance dans le cadre de la mission ;</w:t>
      </w:r>
    </w:p>
    <w:p>
      <w:pPr>
        <w:pStyle w:val="ListBullet"/>
      </w:pPr>
      <w:r>
        <w:t xml:space="preserve">de </w:t>
      </w:r>
      <w:r>
        <w:rPr>
          <w:b/>
        </w:rPr>
        <w:t>solliciter ou débaucher</w:t>
      </w:r>
      <w:r>
        <w:t xml:space="preserve"> les candidats du </w:t>
      </w:r>
      <w:r>
        <w:rPr>
          <w:b/>
        </w:rPr>
        <w:t>vivier</w:t>
      </w:r>
      <w:r>
        <w:t>, ainsi que les autres</w:t>
      </w:r>
    </w:p>
    <w:p>
      <w:r>
        <w:t>consultants, freelances ou agents de la Société ;</w:t>
      </w:r>
    </w:p>
    <w:p>
      <w:pPr>
        <w:pStyle w:val="ListBullet"/>
      </w:pPr>
      <w:r>
        <w:t>d'</w:t>
      </w:r>
      <w:r>
        <w:rPr>
          <w:b/>
        </w:rPr>
        <w:t>utiliser</w:t>
      </w:r>
      <w:r>
        <w:t xml:space="preserve"> les listes, fichiers et coordonnées de la Société au profit d'une activité</w:t>
      </w:r>
    </w:p>
    <w:p>
      <w:r>
        <w:t>concurrente ou pour son activité personnelle.</w:t>
      </w:r>
    </w:p>
    <w:p>
      <w:r>
        <w:t>Cette obligation vise à protéger l'investissement commercial de la Société et le carnet de</w:t>
      </w:r>
    </w:p>
    <w:p>
      <w:r>
        <w:t>contacts constitué ; elle est réputée proportionnée à cet objet.</w:t>
      </w:r>
    </w:p>
    <w:p>
      <w:pPr>
        <w:spacing w:before="200"/>
      </w:pPr>
      <w:r>
        <w:rPr>
          <w:b/>
          <w:color w:val="1F2D50"/>
          <w:sz w:val="25"/>
        </w:rPr>
        <w:t>Article 6 — Propriété &amp; cession des livrables</w:t>
      </w:r>
    </w:p>
    <w:p>
      <w:pPr>
        <w:pStyle w:val="ListNumber"/>
      </w:pPr>
      <w:r>
        <w:t xml:space="preserve">Tout </w:t>
      </w:r>
      <w:r>
        <w:rPr>
          <w:b/>
        </w:rPr>
        <w:t>livrable</w:t>
      </w:r>
      <w:r>
        <w:t xml:space="preserve"> produit par le Consultant dans le cadre de la mission — notamment</w:t>
      </w:r>
    </w:p>
    <w:p>
      <w:r>
        <w:t>documents stratégiques, analyses de marché, retroplannings, fichiers de prospection,</w:t>
      </w:r>
    </w:p>
    <w:p>
      <w:r>
        <w:t>séquences, scripts et tout autre support — est **réalisé pour le compte exclusif de la</w:t>
      </w:r>
    </w:p>
    <w:p>
      <w:r>
        <w:t>Société**.</w:t>
      </w:r>
    </w:p>
    <w:p>
      <w:pPr>
        <w:pStyle w:val="ListNumber"/>
      </w:pPr>
      <w:r>
        <w:t xml:space="preserve">Le Consultant </w:t>
      </w:r>
      <w:r>
        <w:rPr>
          <w:b/>
        </w:rPr>
        <w:t>cède à la Société, à titre exclusif et définitif</w:t>
      </w:r>
      <w:r>
        <w:t>, l'ensemble des</w:t>
      </w:r>
    </w:p>
    <w:p>
      <w:r>
        <w:rPr>
          <w:b/>
        </w:rPr>
        <w:t>droits patrimoniaux de propriété intellectuelle</w:t>
      </w:r>
      <w:r>
        <w:t xml:space="preserve"> afférents à ces livrables, pour</w:t>
      </w:r>
    </w:p>
    <w:p>
      <w:r>
        <w:t>toute la durée légale de protection et pour tous pays, la rémunération de la mission</w:t>
      </w:r>
    </w:p>
    <w:p>
      <w:r>
        <w:t>incluant le prix de cette cession.</w:t>
      </w:r>
    </w:p>
    <w:p>
      <w:pPr>
        <w:pStyle w:val="ListNumber"/>
      </w:pPr>
      <w:r>
        <w:t xml:space="preserve">Le Consultant </w:t>
      </w:r>
      <w:r>
        <w:rPr>
          <w:b/>
        </w:rPr>
        <w:t>garantit l'originalité</w:t>
      </w:r>
      <w:r>
        <w:t xml:space="preserve"> des livrables et qu'ils ne portent atteinte à</w:t>
      </w:r>
    </w:p>
    <w:p>
      <w:r>
        <w:t>aucun droit de tiers.</w:t>
      </w:r>
    </w:p>
    <w:p>
      <w:pPr>
        <w:spacing w:before="200"/>
      </w:pPr>
      <w:r>
        <w:rPr>
          <w:b/>
          <w:color w:val="1F2D50"/>
          <w:sz w:val="25"/>
        </w:rPr>
        <w:t>Article 7 — Statut indépendant</w:t>
      </w:r>
    </w:p>
    <w:p>
      <w:r>
        <w:t xml:space="preserve">Le Consultant intervient en qualité de </w:t>
      </w:r>
      <w:r>
        <w:rPr>
          <w:b/>
        </w:rPr>
        <w:t>prestataire indépendant</w:t>
      </w:r>
      <w:r>
        <w:t>. Le présent engagement</w:t>
      </w:r>
    </w:p>
    <w:p>
      <w:r>
        <w:rPr>
          <w:b/>
        </w:rPr>
        <w:t>ne crée aucun lien de subordination</w:t>
      </w:r>
      <w:r>
        <w:t xml:space="preserve"> ni contrat de travail. Le Consultant organise</w:t>
      </w:r>
    </w:p>
    <w:p>
      <w:r>
        <w:t xml:space="preserve">librement l'exécution de sa mission, </w:t>
      </w:r>
      <w:r>
        <w:rPr>
          <w:b/>
        </w:rPr>
        <w:t>facture</w:t>
      </w:r>
      <w:r>
        <w:t xml:space="preserve"> ses prestations et fait son affaire</w:t>
      </w:r>
    </w:p>
    <w:p>
      <w:r>
        <w:t xml:space="preserve">personnelle de ses </w:t>
      </w:r>
      <w:r>
        <w:rPr>
          <w:b/>
        </w:rPr>
        <w:t>cotisations et obligations fiscales et sociales</w:t>
      </w:r>
      <w:r>
        <w:t>.</w:t>
      </w:r>
    </w:p>
    <w:p>
      <w:pPr>
        <w:spacing w:before="200"/>
      </w:pPr>
      <w:r>
        <w:rPr>
          <w:b/>
          <w:color w:val="1F2D50"/>
          <w:sz w:val="25"/>
        </w:rPr>
        <w:t>Article 8 — Durée</w:t>
      </w:r>
    </w:p>
    <w:p>
      <w:r>
        <w:t xml:space="preserve">L'obligation de </w:t>
      </w:r>
      <w:r>
        <w:rPr>
          <w:b/>
        </w:rPr>
        <w:t>confidentialité</w:t>
      </w:r>
      <w:r>
        <w:t xml:space="preserve"> (art. 3) court pendant toute la durée de la mission et</w:t>
      </w:r>
    </w:p>
    <w:p>
      <w:r>
        <w:t xml:space="preserve">pendant </w:t>
      </w:r>
      <w:r>
        <w:rPr>
          <w:b/>
        </w:rPr>
        <w:t>trois (3) ans</w:t>
      </w:r>
      <w:r>
        <w:t xml:space="preserve"> après son terme. L'obligation de</w:t>
      </w:r>
    </w:p>
    <w:p>
      <w:r>
        <w:rPr>
          <w:b/>
        </w:rPr>
        <w:t>non-sollicitation</w:t>
      </w:r>
      <w:r>
        <w:t xml:space="preserve"> (art. 5) s'applique selon la durée qui y est fixée. La **cession des</w:t>
      </w:r>
    </w:p>
    <w:p>
      <w:r>
        <w:t>livrables** (art. 6) est définitive.</w:t>
      </w:r>
    </w:p>
    <w:p>
      <w:pPr>
        <w:spacing w:before="200"/>
      </w:pPr>
      <w:r>
        <w:rPr>
          <w:b/>
          <w:color w:val="1F2D50"/>
          <w:sz w:val="25"/>
        </w:rPr>
        <w:t>Article 9 — Données personnelles</w:t>
      </w:r>
    </w:p>
    <w:p>
      <w:r>
        <w:t xml:space="preserve">Si la mission conduit le Consultant à accéder à des </w:t>
      </w:r>
      <w:r>
        <w:rPr>
          <w:b/>
        </w:rPr>
        <w:t>données à caractère personnel</w:t>
      </w:r>
      <w:r>
        <w:t>, il</w:t>
      </w:r>
    </w:p>
    <w:p>
      <w:r>
        <w:t>s'engage à respecter la réglementation applicable (RGPD) et, le cas échéant, à signer</w:t>
      </w:r>
    </w:p>
    <w:p>
      <w:r>
        <w:t>l'</w:t>
      </w:r>
      <w:r>
        <w:rPr>
          <w:b/>
        </w:rPr>
        <w:t>accord de sous-traitance</w:t>
      </w:r>
      <w:r>
        <w:t xml:space="preserve"> (</w:t>
      </w:r>
      <w:r>
        <w:t>04-Closing/MODELE-DPA-RGPD.md</w:t>
      </w:r>
      <w:r>
        <w:t>). Dans le cadre du</w:t>
      </w:r>
    </w:p>
    <w:p>
      <w:r>
        <w:t>business development, le périmètre est principalement constitué de **données</w:t>
      </w:r>
    </w:p>
    <w:p>
      <w:r>
        <w:t>professionnelles (B2B)**.</w:t>
      </w:r>
    </w:p>
    <w:p>
      <w:pPr>
        <w:spacing w:before="200"/>
      </w:pPr>
      <w:r>
        <w:rPr>
          <w:b/>
          <w:color w:val="1F2D50"/>
          <w:sz w:val="25"/>
        </w:rPr>
        <w:t>Article 10 — Sanctions &amp; responsabilité</w:t>
      </w:r>
    </w:p>
    <w:p>
      <w:r>
        <w:t>Tout manquement aux obligations du présent engagement ouvre droit, pour la Société, à la</w:t>
      </w:r>
    </w:p>
    <w:p>
      <w:r>
        <w:rPr>
          <w:b/>
        </w:rPr>
        <w:t>réparation de l'intégralité du préjudice</w:t>
      </w:r>
      <w:r>
        <w:t xml:space="preserve"> subi, sans préjudice de toute mesure</w:t>
      </w:r>
    </w:p>
    <w:p>
      <w:r>
        <w:t>conservatoire ou d'urgence. À titre de clause pénale, tout manquement caractérisé donnera</w:t>
      </w:r>
    </w:p>
    <w:p>
      <w:r>
        <w:t>lieu au versement d'une indemnité forfaitaire de **20 000 000 Ar (vingt millions</w:t>
      </w:r>
    </w:p>
    <w:p>
      <w:r>
        <w:t>d'ariary)**, sans préjudice de la réparation du préjudice complémentaire si celui-ci</w:t>
      </w:r>
    </w:p>
    <w:p>
      <w:r>
        <w:t>excède ce montant.</w:t>
      </w:r>
    </w:p>
    <w:p>
      <w:pPr>
        <w:spacing w:before="200"/>
      </w:pPr>
      <w:r>
        <w:rPr>
          <w:b/>
          <w:color w:val="1F2D50"/>
          <w:sz w:val="25"/>
        </w:rPr>
        <w:t>Article 11 — Droit applicable &amp; règlement des litiges</w:t>
      </w:r>
    </w:p>
    <w:p>
      <w:r>
        <w:t xml:space="preserve">Le présent engagement est régi par le </w:t>
      </w:r>
      <w:r>
        <w:rPr>
          <w:b/>
        </w:rPr>
        <w:t>droit malgache</w:t>
      </w:r>
      <w:r>
        <w:t>.</w:t>
      </w:r>
    </w:p>
    <w:p>
      <w:r>
        <w:t>En cas de différend relatif à sa formation, son interprétation, son exécution ou sa</w:t>
      </w:r>
    </w:p>
    <w:p>
      <w:r>
        <w:t xml:space="preserve">résiliation, les Parties s'engagent, </w:t>
      </w:r>
      <w:r>
        <w:rPr>
          <w:b/>
        </w:rPr>
        <w:t>préalablement à toute action contentieuse</w:t>
      </w:r>
      <w:r>
        <w:t>, à</w:t>
      </w:r>
    </w:p>
    <w:p>
      <w:r>
        <w:t>rechercher une solution amiable. La partie la plus diligente notifie à l'autre, par écrit,</w:t>
      </w:r>
    </w:p>
    <w:p>
      <w:r>
        <w:t xml:space="preserve">l'objet du différend ; les Parties disposent alors d'un délai de </w:t>
      </w:r>
      <w:r>
        <w:rPr>
          <w:b/>
        </w:rPr>
        <w:t>trente (30) jours</w:t>
      </w:r>
      <w:r>
        <w:t xml:space="preserve"> à</w:t>
      </w:r>
    </w:p>
    <w:p>
      <w:r>
        <w:t>compter de cette notification pour parvenir à un accord, le cas échéant avec l'assistance</w:t>
      </w:r>
    </w:p>
    <w:p>
      <w:r>
        <w:t>d'un médiateur désigné d'un commun accord.</w:t>
      </w:r>
    </w:p>
    <w:p>
      <w:r>
        <w:rPr>
          <w:b/>
        </w:rPr>
        <w:t>À défaut d'accord amiable</w:t>
      </w:r>
      <w:r>
        <w:t xml:space="preserve"> à l'expiration de ce délai, le litige sera porté devant les</w:t>
      </w:r>
    </w:p>
    <w:p>
      <w:r>
        <w:rPr>
          <w:b/>
        </w:rPr>
        <w:t>tribunaux compétents d'Antananarivo (Madagascar)</w:t>
      </w:r>
      <w:r>
        <w:t>, auxquels les Parties attribuent</w:t>
      </w:r>
    </w:p>
    <w:p>
      <w:r>
        <w:t>expressément compétence.</w:t>
      </w:r>
    </w:p>
    <w:p>
      <w:pPr>
        <w:spacing w:before="40" w:after="40"/>
        <w:pBdr>
          <w:bottom w:val="single" w:sz="6" w:space="1" w:color="C7CCD6"/>
        </w:pBdr>
      </w:pPr>
    </w:p>
    <w:p>
      <w:pPr>
        <w:spacing w:before="200"/>
      </w:pPr>
      <w:r>
        <w:rPr>
          <w:b/>
          <w:color w:val="1F2D50"/>
          <w:sz w:val="25"/>
        </w:rPr>
        <w:t>Signatures</w:t>
      </w:r>
    </w:p>
    <w:p>
      <w:r>
        <w:t xml:space="preserve">Fait à </w:t>
      </w:r>
      <w:r>
        <w:t>[lieu]</w:t>
      </w:r>
      <w:r>
        <w:t xml:space="preserve">, le </w:t>
      </w:r>
      <w:r>
        <w:t>[JJ/MM/AAAA]</w:t>
      </w:r>
      <w:r>
        <w:t>, en deux (2) exemplaires originaux.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2D5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La Société — VJUS (nom commercial Salverys)</w:t>
            </w:r>
          </w:p>
        </w:tc>
        <w:tc>
          <w:tcPr>
            <w:tcW w:type="dxa" w:w="4873"/>
            <w:shd w:val="clear" w:color="auto" w:fill="1F2D5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Le Consultant</w:t>
            </w:r>
          </w:p>
        </w:tc>
      </w:tr>
      <w:tr>
        <w:tc>
          <w:tcPr>
            <w:tcW w:type="dxa" w:w="4873"/>
          </w:tcPr>
          <w:p>
            <w:r/>
            <w:r>
              <w:t>Nom : Valérien Rakotosalama</w:t>
            </w:r>
          </w:p>
        </w:tc>
        <w:tc>
          <w:tcPr>
            <w:tcW w:type="dxa" w:w="4873"/>
          </w:tcPr>
          <w:p>
            <w:r/>
            <w:r>
              <w:t>Nom : Vololoniaina Randrianasinoro</w:t>
            </w:r>
          </w:p>
        </w:tc>
      </w:tr>
      <w:tr>
        <w:tc>
          <w:tcPr>
            <w:tcW w:type="dxa" w:w="4873"/>
          </w:tcPr>
          <w:p>
            <w:r/>
            <w:r>
              <w:t>Fonction : Gérant</w:t>
            </w:r>
          </w:p>
        </w:tc>
        <w:tc>
          <w:tcPr>
            <w:tcW w:type="dxa" w:w="4873"/>
          </w:tcPr>
          <w:p>
            <w:r/>
            <w:r>
              <w:t>Qualité : Consultant indépendant</w:t>
            </w:r>
          </w:p>
        </w:tc>
      </w:tr>
      <w:tr>
        <w:tc>
          <w:tcPr>
            <w:tcW w:type="dxa" w:w="4873"/>
          </w:tcPr>
          <w:p>
            <w:r/>
            <w:r>
              <w:t xml:space="preserve">Date : </w:t>
            </w:r>
            <w:r>
              <w:t>[JJ/MM/AAAA]</w:t>
            </w:r>
          </w:p>
        </w:tc>
        <w:tc>
          <w:tcPr>
            <w:tcW w:type="dxa" w:w="4873"/>
          </w:tcPr>
          <w:p>
            <w:r/>
            <w:r>
              <w:t xml:space="preserve">Date : </w:t>
            </w:r>
            <w:r>
              <w:t>[JJ/MM/AAAA]</w:t>
            </w:r>
          </w:p>
        </w:tc>
      </w:tr>
      <w:tr>
        <w:tc>
          <w:tcPr>
            <w:tcW w:type="dxa" w:w="4873"/>
          </w:tcPr>
          <w:p>
            <w:r/>
            <w:r>
              <w:t>Signature :</w:t>
            </w:r>
          </w:p>
        </w:tc>
        <w:tc>
          <w:tcPr>
            <w:tcW w:type="dxa" w:w="4873"/>
          </w:tcPr>
          <w:p>
            <w:r/>
            <w:r>
              <w:t>Signature (précédée de « Lu et approuvé ») 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247" w:bottom="1361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1007999" cy="2569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salvery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7999" cy="256941"/>
                  </a:xfrm>
                  <a:prstGeom prst="rect"/>
                </pic:spPr>
              </pic:pic>
            </a:graphicData>
          </a:graphic>
        </wp:inline>
      </w:drawing>
    </w:r>
    <w:r>
      <w:br/>
    </w:r>
    <w:r>
      <w:rPr>
        <w:color w:val="6B7280"/>
        <w:sz w:val="15"/>
      </w:rPr>
      <w:t>VJUS — nom commercial Salverys · Antananarivo, Madagascar · NIF 6018198778 · RCS 102071032469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center"/>
    </w:pPr>
    <w:r>
      <w:drawing>
        <wp:inline xmlns:a="http://schemas.openxmlformats.org/drawingml/2006/main" xmlns:pic="http://schemas.openxmlformats.org/drawingml/2006/picture">
          <wp:extent cx="1584000" cy="4037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salvery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4000" cy="4037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