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 xml:space="preserve">Ci-après « </w:t>
      </w:r>
      <w:r>
        <w:rPr>
          <w:b/>
        </w:rPr>
        <w:t>la Société</w:t>
      </w:r>
      <w:r>
        <w:t xml:space="preserve"> » ou « </w:t>
      </w:r>
      <w:r>
        <w:rPr>
          <w:b/>
        </w:rPr>
        <w:t>VJUS</w:t>
      </w:r>
      <w:r>
        <w:t xml:space="preserve">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</w:t>
      </w:r>
      <w:r>
        <w:rPr>
          <w:b/>
        </w:rPr>
        <w:t xml:space="preserve">, courriel </w:t>
      </w:r>
      <w:r>
        <w:t>randrianasinoro@gmail.com**,</w:t>
      </w:r>
    </w:p>
    <w:p>
      <w:r>
        <w:t xml:space="preserve">téléphone </w:t>
      </w:r>
      <w:r>
        <w:rPr>
          <w:b/>
        </w:rPr>
        <w:t>+261 32 07 042 29 / +261 34 28 533 24</w:t>
      </w:r>
      <w:r>
        <w:t>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_(NIF / STAT / numéro</w:t>
      </w:r>
    </w:p>
    <w:p>
      <w:r>
        <w:t>d'enregistrement à compléter : [_____</w:t>
      </w:r>
      <w:r>
        <w:rPr>
          <w:i/>
        </w:rPr>
        <w:t>])</w:t>
      </w:r>
      <w:r>
        <w:t>, déclarant exercer en son nom propre et assumer</w:t>
      </w:r>
    </w:p>
    <w:p>
      <w:r>
        <w:t>seule ses obligations sociales et fiscales.</w:t>
      </w:r>
    </w:p>
    <w:p>
      <w:r>
        <w:t xml:space="preserve">Ci-après « </w:t>
      </w:r>
      <w:r>
        <w:rPr>
          <w:b/>
        </w:rPr>
        <w:t>la Prestataire</w:t>
      </w:r>
      <w:r>
        <w:t xml:space="preserve"> ».</w:t>
      </w:r>
    </w:p>
    <w:p>
      <w:r>
        <w:t xml:space="preserve">Ensemble dénommées « </w:t>
      </w:r>
      <w:r>
        <w:rPr>
          <w:b/>
        </w:rPr>
        <w:t>les Parties</w:t>
      </w:r>
      <w:r>
        <w:t xml:space="preserve"> », et individuellement « </w:t>
      </w:r>
      <w:r>
        <w:rPr>
          <w:b/>
        </w:rPr>
        <w:t>une Partie</w:t>
      </w:r>
      <w:r>
        <w:t xml:space="preserve">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 xml:space="preserve">, à destination de donneurs d'ordre et clients </w:t>
      </w:r>
      <w:r>
        <w:rPr>
          <w:b/>
        </w:rPr>
        <w:t>français</w:t>
      </w:r>
      <w:r>
        <w:t>, sur trois</w:t>
      </w:r>
    </w:p>
    <w:p>
      <w:r>
        <w:t>niches : (1) télésecrétariat médical, (2) support applicatif N1 pour éditeurs SaaS,</w:t>
      </w:r>
    </w:p>
    <w:p>
      <w:r>
        <w:t xml:space="preserve">(3)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 Emelia,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télésecrétariat médical</w:t>
      </w:r>
      <w:r>
        <w:t xml:space="preserve"> (priorité absolue) ;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s'entend, de manière cumulative :</w:t>
      </w:r>
    </w:p>
    <w:p>
      <w:pPr>
        <w:pStyle w:val="ListBullet"/>
      </w:pPr>
      <w:r>
        <w:t xml:space="preserve">d'un </w:t>
      </w:r>
      <w:r>
        <w:rPr>
          <w:b/>
        </w:rPr>
        <w:t>donneur d'ordre (ou client) signé</w:t>
      </w:r>
      <w:r>
        <w:t xml:space="preserve"> ; </w:t>
      </w:r>
      <w:r>
        <w:rPr>
          <w:b/>
        </w:rPr>
        <w:t>et</w:t>
      </w:r>
    </w:p>
    <w:p>
      <w:pPr>
        <w:pStyle w:val="ListBullet"/>
      </w:pPr>
      <w:r>
        <w:t xml:space="preserve">dont le </w:t>
      </w:r>
      <w:r>
        <w:rPr>
          <w:b/>
        </w:rPr>
        <w:t>premier mois de prestation a été effectivement ENCAISSÉ</w:t>
      </w:r>
      <w:r>
        <w:t xml:space="preserve"> par la Société</w:t>
      </w:r>
    </w:p>
    <w:p>
      <w:r>
        <w:t xml:space="preserve">(paiement reçu), après le pilote / mois de lancement à </w:t>
      </w:r>
      <w:r>
        <w:rPr>
          <w:b/>
        </w:rPr>
        <w:t>−50 %</w:t>
      </w:r>
      <w:r>
        <w:t>, **et sans</w:t>
      </w:r>
    </w:p>
    <w:p>
      <w:r>
        <w:t>résiliation** intervenue avant cet encaissement.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mois civil au cours duquel les conditions du</w:t>
      </w:r>
    </w:p>
    <w:p>
      <w:r>
        <w:t xml:space="preserve">« Contrat gagné » (art. 3.1) sont </w:t>
      </w:r>
      <w:r>
        <w:rPr>
          <w:b/>
        </w:rPr>
        <w:t>toutes</w:t>
      </w:r>
      <w:r>
        <w:t xml:space="preserve"> réunies (encaissement du 1er mois).</w:t>
      </w:r>
    </w:p>
    <w:p>
      <w:r>
        <w:t xml:space="preserve">4.4. </w:t>
      </w:r>
      <w:r>
        <w:rPr>
          <w:b/>
        </w:rPr>
        <w:t>Devise et conversion.</w:t>
      </w:r>
      <w:r>
        <w:t xml:space="preserve"> Les montants sont </w:t>
      </w:r>
      <w:r>
        <w:rPr>
          <w:b/>
        </w:rPr>
        <w:t>payés en ariary (Ar)</w:t>
      </w:r>
      <w:r>
        <w:t>. Lorsqu'un</w:t>
      </w:r>
    </w:p>
    <w:p>
      <w:r>
        <w:t>montant est exprimé en euros (commission), la conversion s'effectue au taux de référence</w:t>
      </w:r>
    </w:p>
    <w:p>
      <w:r>
        <w:t xml:space="preserve">interne </w:t>
      </w:r>
      <w:r>
        <w:rPr>
          <w:b/>
        </w:rPr>
        <w:t>~5 000 Ar = 1 €</w:t>
      </w:r>
      <w:r>
        <w:t xml:space="preserve"> </w:t>
      </w:r>
      <w:r>
        <w:rPr>
          <w:i/>
        </w:rPr>
        <w:t>(modalité de fixation du taux à préciser : [</w:t>
      </w:r>
      <w:r>
        <w:rPr>
          <w:i/>
        </w:rPr>
        <w:t>__</w:t>
      </w:r>
      <w:r>
        <w:rPr>
          <w:i/>
        </w:rPr>
        <w:t>])</w:t>
      </w:r>
      <w:r>
        <w:t>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1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1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