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/>
      </w:pPr>
      <w:r>
        <w:rPr>
          <w:b/>
          <w:color w:val="1F2D50"/>
          <w:sz w:val="32"/>
        </w:rPr>
        <w:t>CONTRAT DE PRESTATION DE SERVICES — Business Development (VIV-0010)</w:t>
      </w:r>
    </w:p>
    <w:p>
      <w:pPr>
        <w:spacing w:before="80" w:after="160"/>
        <w:ind w:left="283"/>
        <w:pBdr>
          <w:left w:val="single" w:sz="18" w:space="8" w:color="C9A24B"/>
        </w:pBdr>
      </w:pPr>
      <w:r>
        <w:rPr>
          <w:color w:val="6B7280"/>
          <w:sz w:val="19"/>
        </w:rPr>
        <w:t xml:space="preserve">⚠️ </w:t>
      </w:r>
      <w:r>
        <w:rPr>
          <w:b/>
          <w:color w:val="6B7280"/>
          <w:sz w:val="19"/>
        </w:rPr>
        <w:t>Support opérationnel, pas un avis juridique.</w:t>
      </w:r>
      <w:r>
        <w:rPr>
          <w:color w:val="6B7280"/>
          <w:sz w:val="19"/>
        </w:rPr>
        <w:t xml:space="preserve"> Ce modèle est un outil de cadrage interne. Il doit être </w:t>
      </w:r>
      <w:r>
        <w:rPr>
          <w:b/>
          <w:color w:val="6B7280"/>
          <w:sz w:val="19"/>
        </w:rPr>
        <w:t>relu et validé par un conseil juridique local</w:t>
      </w:r>
      <w:r>
        <w:rPr>
          <w:color w:val="6B7280"/>
          <w:sz w:val="19"/>
        </w:rPr>
        <w:t xml:space="preserve"> (droit malgache) avant signature, notamment sur le volet anti-requalification (statut indépendant). </w:t>
      </w:r>
      <w:r>
        <w:rPr>
          <w:b/>
          <w:color w:val="6B7280"/>
          <w:sz w:val="19"/>
        </w:rPr>
        <w:t>Statut : prestation INDÉPENDANTE.</w:t>
      </w:r>
      <w:r>
        <w:rPr>
          <w:color w:val="6B7280"/>
          <w:sz w:val="19"/>
        </w:rPr>
        <w:t xml:space="preserve"> Ceci n'est </w:t>
      </w:r>
      <w:r>
        <w:rPr>
          <w:b/>
          <w:color w:val="6B7280"/>
          <w:sz w:val="19"/>
        </w:rPr>
        <w:t>pas</w:t>
      </w:r>
      <w:r>
        <w:rPr>
          <w:color w:val="6B7280"/>
          <w:sz w:val="19"/>
        </w:rPr>
        <w:t xml:space="preserve"> un contrat de travail salarié. Le vocabulaire est volontairement celui de la prestation de services (« honoraires », « commission de performance », « facturation »), jamais celui du salariat (« salaire », « prime », « horaires », « congés »). Toute reformulation devra préserver ce verrou (cf. </w:t>
      </w:r>
      <w:r>
        <w:rPr>
          <w:rFonts w:ascii="Consolas" w:hAnsi="Consolas"/>
          <w:color w:val="6B7280"/>
          <w:sz w:val="19"/>
        </w:rPr>
        <w:t>01-Strategie-Offre/FINANCE-PREVISIONNEL.md §1</w:t>
      </w:r>
      <w:r>
        <w:rPr>
          <w:color w:val="6B7280"/>
          <w:sz w:val="19"/>
        </w:rPr>
        <w:t xml:space="preserve">). Modèle réutilisable : remplacer les </w:t>
      </w:r>
      <w:r>
        <w:rPr>
          <w:rFonts w:ascii="Consolas" w:hAnsi="Consolas"/>
          <w:color w:val="6B7280"/>
          <w:sz w:val="19"/>
        </w:rPr>
        <w:t>[...]</w:t>
      </w:r>
      <w:r>
        <w:rPr>
          <w:color w:val="6B7280"/>
          <w:sz w:val="19"/>
        </w:rPr>
        <w:t xml:space="preserve"> pour un autre prestataire BD.</w:t>
      </w:r>
    </w:p>
    <w:p>
      <w:pPr>
        <w:spacing w:before="40" w:after="40"/>
        <w:pBdr>
          <w:bottom w:val="single" w:sz="6" w:space="1" w:color="C7CCD6"/>
        </w:pBdr>
      </w:pPr>
    </w:p>
    <w:p>
      <w:pPr>
        <w:spacing w:before="200"/>
      </w:pPr>
      <w:r>
        <w:rPr>
          <w:b/>
          <w:color w:val="1F2D50"/>
          <w:sz w:val="25"/>
        </w:rPr>
        <w:t>Entre les soussignés</w:t>
      </w:r>
    </w:p>
    <w:p>
      <w:r>
        <w:rPr>
          <w:b/>
        </w:rPr>
        <w:t>La Société</w:t>
      </w:r>
      <w:r>
        <w:t xml:space="preserve"> : </w:t>
      </w:r>
      <w:r>
        <w:rPr>
          <w:b/>
        </w:rPr>
        <w:t>VJUS</w:t>
      </w:r>
      <w:r>
        <w:t xml:space="preserve">, société de droit malgache, NIF </w:t>
      </w:r>
      <w:r>
        <w:rPr>
          <w:b/>
        </w:rPr>
        <w:t>6018198778</w:t>
      </w:r>
      <w:r>
        <w:t>,</w:t>
      </w:r>
    </w:p>
    <w:p>
      <w:r>
        <w:t xml:space="preserve">STAT </w:t>
      </w:r>
      <w:r>
        <w:rPr>
          <w:b/>
        </w:rPr>
        <w:t>74908 11 2023 0 06077</w:t>
      </w:r>
      <w:r>
        <w:t xml:space="preserve">, RCS </w:t>
      </w:r>
      <w:r>
        <w:rPr>
          <w:b/>
        </w:rPr>
        <w:t>102071032469</w:t>
      </w:r>
      <w:r>
        <w:t>, dont le siège social est situé</w:t>
      </w:r>
    </w:p>
    <w:p>
      <w:r>
        <w:rPr>
          <w:b/>
        </w:rPr>
        <w:t>Lot IIE 21 A ter, Antananarivo (Madagascar)</w:t>
      </w:r>
      <w:r>
        <w:t xml:space="preserve">, représentée par </w:t>
      </w:r>
      <w:r>
        <w:rPr>
          <w:b/>
        </w:rPr>
        <w:t>Valérien Rakotosalama</w:t>
      </w:r>
      <w:r>
        <w:t>,</w:t>
      </w:r>
    </w:p>
    <w:p>
      <w:r>
        <w:t xml:space="preserve">en sa qualité de </w:t>
      </w:r>
      <w:r>
        <w:rPr>
          <w:b/>
        </w:rPr>
        <w:t>Gérant</w:t>
      </w:r>
      <w:r>
        <w:t>, dûment habilité.</w:t>
      </w:r>
    </w:p>
    <w:p>
      <w:r>
        <w:t xml:space="preserve">VJUS exploite l'activité commerciale sous le </w:t>
      </w:r>
      <w:r>
        <w:rPr>
          <w:b/>
        </w:rPr>
        <w:t>nom commercial « Salverys »</w:t>
      </w:r>
      <w:r>
        <w:t xml:space="preserve"> (marque</w:t>
      </w:r>
    </w:p>
    <w:p>
      <w:r>
        <w:t>commerciale de VJUS, sans personnalité juridique distincte).</w:t>
      </w:r>
    </w:p>
    <w:p>
      <w:r>
        <w:t>Ci-après dénommée « la Société » ou « VJUS ».</w:t>
      </w:r>
    </w:p>
    <w:p>
      <w:r>
        <w:rPr>
          <w:b/>
        </w:rPr>
        <w:t>La Prestataire</w:t>
      </w:r>
      <w:r>
        <w:t xml:space="preserve"> : </w:t>
      </w:r>
      <w:r>
        <w:rPr>
          <w:b/>
        </w:rPr>
        <w:t>Vololoniaina Randrianasinoro</w:t>
      </w:r>
      <w:r>
        <w:t>, consultante indépendante en</w:t>
      </w:r>
    </w:p>
    <w:p>
      <w:r>
        <w:t>développement commercial (business development), demeurant **737 bis parcelle 13/74</w:t>
      </w:r>
    </w:p>
    <w:p>
      <w:r>
        <w:t>Tanambao V, Toamasina 501 (Madagascar)**, courriel : randrianasinoro@gmail.com,</w:t>
      </w:r>
    </w:p>
    <w:p>
      <w:r>
        <w:t>téléphone : +261 32 07 042 29 / +261 34 28 533 24.</w:t>
      </w:r>
    </w:p>
    <w:p>
      <w:r>
        <w:t xml:space="preserve">Agissant en qualité de </w:t>
      </w:r>
      <w:r>
        <w:rPr>
          <w:b/>
        </w:rPr>
        <w:t>travailleur indépendant</w:t>
      </w:r>
      <w:r>
        <w:t>, immatriculée (NIF / STAT / numéro</w:t>
      </w:r>
    </w:p>
    <w:p>
      <w:r>
        <w:t>d'enregistrement à compléter : [__________________________________________]), déclarant exercer en son nom propre et assumer</w:t>
      </w:r>
    </w:p>
    <w:p>
      <w:r>
        <w:t>seule ses obligations sociales et fiscales.</w:t>
      </w:r>
    </w:p>
    <w:p>
      <w:r>
        <w:t>Ci-après dénommée « la Prestataire ».</w:t>
      </w:r>
    </w:p>
    <w:p>
      <w:r>
        <w:t>Ensemble dénommées « les Parties », et individuellement « une Partie ».</w:t>
      </w:r>
    </w:p>
    <w:p>
      <w:pPr>
        <w:spacing w:before="40" w:after="40"/>
        <w:pBdr>
          <w:bottom w:val="single" w:sz="6" w:space="1" w:color="C7CCD6"/>
        </w:pBdr>
      </w:pPr>
    </w:p>
    <w:p>
      <w:pPr>
        <w:spacing w:before="200"/>
      </w:pPr>
      <w:r>
        <w:rPr>
          <w:b/>
          <w:color w:val="1F2D50"/>
          <w:sz w:val="25"/>
        </w:rPr>
        <w:t>Préambule</w:t>
      </w:r>
    </w:p>
    <w:p>
      <w:r>
        <w:t>La Société développe une activité de BPO basée à Antananarivo, commercialisée sous la</w:t>
      </w:r>
    </w:p>
    <w:p>
      <w:r>
        <w:t xml:space="preserve">marque </w:t>
      </w:r>
      <w:r>
        <w:rPr>
          <w:b/>
        </w:rPr>
        <w:t>Salverys</w:t>
      </w:r>
      <w:r>
        <w:t>, à destination de donneurs d'ordre et clients français et canadien, sur trois</w:t>
      </w:r>
    </w:p>
    <w:p>
      <w:r>
        <w:t>niches : (1) télésecrétariat médical, (2) support applicatif N1 pour éditeurs SaaS,</w:t>
      </w:r>
    </w:p>
    <w:p>
      <w:r>
        <w:t xml:space="preserve">(3) et helpdesk IT N1. Sa stratégie de mise sur le marché privilégie la </w:t>
      </w:r>
      <w:r>
        <w:rPr>
          <w:b/>
        </w:rPr>
        <w:t>marque blanche</w:t>
      </w:r>
    </w:p>
    <w:p>
      <w:r>
        <w:t>(sous-traitance de donneurs d'ordre français) avant le direct.</w:t>
      </w:r>
    </w:p>
    <w:p>
      <w:r>
        <w:t>La Prestataire dispose d'une expérience confirmée en prospection B2B, qualification et</w:t>
      </w:r>
    </w:p>
    <w:p>
      <w:r>
        <w:t>relation client. Les Parties se rapprochent pour confier à la Prestataire, en toute</w:t>
      </w:r>
    </w:p>
    <w:p>
      <w:r>
        <w:rPr>
          <w:b/>
        </w:rPr>
        <w:t>indépendance</w:t>
      </w:r>
      <w:r>
        <w:t>, une mission de développement commercial, dans les conditions ci-après.</w:t>
      </w:r>
    </w:p>
    <w:p>
      <w:r>
        <w:t xml:space="preserve">Les Parties ont préalablement signé un </w:t>
      </w:r>
      <w:r>
        <w:rPr>
          <w:b/>
        </w:rPr>
        <w:t>accord de confidentialité (NDA)</w:t>
      </w:r>
      <w:r>
        <w:t xml:space="preserve"> référencé</w:t>
      </w:r>
    </w:p>
    <w:p>
      <w:r>
        <w:rPr>
          <w:b/>
        </w:rPr>
        <w:t>NDA-CONSULTANT-VIV0010-Randrianasinoro</w:t>
      </w:r>
      <w:r>
        <w:t>, qui demeure pleinement en vigueur et est</w:t>
      </w:r>
    </w:p>
    <w:p>
      <w:r>
        <w:t xml:space="preserve">annexé au présent contrat (Annexe 1). Le présent contrat </w:t>
      </w:r>
      <w:r>
        <w:rPr>
          <w:b/>
        </w:rPr>
        <w:t>ne réécrit pas</w:t>
      </w:r>
      <w:r>
        <w:t xml:space="preserve"> le NDA mais</w:t>
      </w:r>
    </w:p>
    <w:p>
      <w:r>
        <w:t>s'y articule (cf. art. 8).</w:t>
      </w:r>
    </w:p>
    <w:p>
      <w:pPr>
        <w:spacing w:before="40" w:after="40"/>
        <w:pBdr>
          <w:bottom w:val="single" w:sz="6" w:space="1" w:color="C7CCD6"/>
        </w:pBdr>
      </w:pPr>
    </w:p>
    <w:p>
      <w:pPr>
        <w:spacing w:before="200"/>
      </w:pPr>
      <w:r>
        <w:rPr>
          <w:b/>
          <w:color w:val="1F2D50"/>
          <w:sz w:val="25"/>
        </w:rPr>
        <w:t>Article 1 — Objet et statut indépendant</w:t>
      </w:r>
    </w:p>
    <w:p>
      <w:r>
        <w:t>1.1. La Société confie à la Prestataire, qui l'accepte, une **prestation de services de</w:t>
      </w:r>
    </w:p>
    <w:p>
      <w:r>
        <w:t>développement commercial B2B** pour le compte de Salverys, dans les conditions définies</w:t>
      </w:r>
    </w:p>
    <w:p>
      <w:r>
        <w:t>ci-après.</w:t>
      </w:r>
    </w:p>
    <w:p>
      <w:r>
        <w:t xml:space="preserve">1.2. La Prestataire intervient en qualité de </w:t>
      </w:r>
      <w:r>
        <w:rPr>
          <w:b/>
        </w:rPr>
        <w:t>prestataire indépendante</w:t>
      </w:r>
      <w:r>
        <w:t>. Le présent</w:t>
      </w:r>
    </w:p>
    <w:p>
      <w:r>
        <w:t xml:space="preserve">contrat </w:t>
      </w:r>
      <w:r>
        <w:rPr>
          <w:b/>
        </w:rPr>
        <w:t>n'emporte aucun lien de subordination</w:t>
      </w:r>
      <w:r>
        <w:t xml:space="preserve"> ni aucune relation de travail salarié</w:t>
      </w:r>
    </w:p>
    <w:p>
      <w:r>
        <w:t>entre les Parties. Il ne saurait être interprété ou requalifié en contrat de travail.</w:t>
      </w:r>
    </w:p>
    <w:p>
      <w:r>
        <w:t>1.3. En conséquence, et de convention expresse entre les Parties :</w:t>
      </w:r>
    </w:p>
    <w:p>
      <w:pPr>
        <w:pStyle w:val="ListBullet"/>
      </w:pPr>
      <w:r>
        <w:t xml:space="preserve">La Prestataire </w:t>
      </w:r>
      <w:r>
        <w:rPr>
          <w:b/>
        </w:rPr>
        <w:t>organise librement</w:t>
      </w:r>
      <w:r>
        <w:t xml:space="preserve"> son temps, ses méthodes et ses moyens pour</w:t>
      </w:r>
    </w:p>
    <w:p>
      <w:r>
        <w:t xml:space="preserve">atteindre les objectifs convenus ; elle </w:t>
      </w:r>
      <w:r>
        <w:rPr>
          <w:b/>
        </w:rPr>
        <w:t>n'est soumise à aucun horaire imposé</w:t>
      </w:r>
      <w:r>
        <w:t xml:space="preserve"> ni à</w:t>
      </w:r>
    </w:p>
    <w:p>
      <w:r>
        <w:t>aucune obligation de présence dans des locaux de la Société ;</w:t>
      </w:r>
    </w:p>
    <w:p>
      <w:pPr>
        <w:pStyle w:val="ListBullet"/>
      </w:pPr>
      <w:r>
        <w:t xml:space="preserve">La Prestataire </w:t>
      </w:r>
      <w:r>
        <w:rPr>
          <w:b/>
        </w:rPr>
        <w:t>utilise ses propres moyens</w:t>
      </w:r>
      <w:r>
        <w:t xml:space="preserve"> matériels (poste de travail, connexion) ;</w:t>
      </w:r>
    </w:p>
    <w:p>
      <w:r>
        <w:t>les outils mis à disposition par la Société (CRM, licences, etc.) le sont aux</w:t>
      </w:r>
    </w:p>
    <w:p>
      <w:r>
        <w:t>seules fins de la mission et restent la propriété de la Société ;</w:t>
      </w:r>
    </w:p>
    <w:p>
      <w:pPr>
        <w:pStyle w:val="ListBullet"/>
      </w:pPr>
      <w:r>
        <w:t xml:space="preserve">La Prestataire </w:t>
      </w:r>
      <w:r>
        <w:rPr>
          <w:b/>
        </w:rPr>
        <w:t>facture</w:t>
      </w:r>
      <w:r>
        <w:t xml:space="preserve"> ses honoraires et </w:t>
      </w:r>
      <w:r>
        <w:rPr>
          <w:b/>
        </w:rPr>
        <w:t>assume seule</w:t>
      </w:r>
      <w:r>
        <w:t xml:space="preserve"> l'intégralité de ses</w:t>
      </w:r>
    </w:p>
    <w:p>
      <w:r>
        <w:t>charges, cotisations sociales et impôts liés à son activité indépendante. La Société</w:t>
      </w:r>
    </w:p>
    <w:p>
      <w:r>
        <w:t>n'opère aucune retenue à ce titre ;</w:t>
      </w:r>
    </w:p>
    <w:p>
      <w:pPr>
        <w:pStyle w:val="ListBullet"/>
      </w:pPr>
      <w:r>
        <w:t xml:space="preserve">La Prestataire </w:t>
      </w:r>
      <w:r>
        <w:rPr>
          <w:b/>
        </w:rPr>
        <w:t>conserve la liberté</w:t>
      </w:r>
      <w:r>
        <w:t xml:space="preserve"> d'avoir d'autres clients, sous la seule réserve</w:t>
      </w:r>
    </w:p>
    <w:p>
      <w:r>
        <w:t>des articles 7 (loyauté / non-concurrence limitée) et 8 (confidentialité /</w:t>
      </w:r>
    </w:p>
    <w:p>
      <w:r>
        <w:t>non-sollicitation via le NDA).</w:t>
      </w:r>
    </w:p>
    <w:p>
      <w:r>
        <w:t xml:space="preserve">1.4. La Société communique à la Prestataire les </w:t>
      </w:r>
      <w:r>
        <w:rPr>
          <w:b/>
        </w:rPr>
        <w:t>objectifs commerciaux</w:t>
      </w:r>
      <w:r>
        <w:t>, les **cibles</w:t>
      </w:r>
    </w:p>
    <w:p>
      <w:r>
        <w:t>prioritaires</w:t>
      </w:r>
      <w:r>
        <w:rPr>
          <w:b/>
        </w:rPr>
        <w:t xml:space="preserve"> et le </w:t>
      </w:r>
      <w:r>
        <w:t>cadre qualité** de la marque (positionnement, niches, messages-clés,</w:t>
      </w:r>
    </w:p>
    <w:p>
      <w:r>
        <w:t>exigences de conformité), ainsi que tout retour utile au bon déroulement de la mission. La</w:t>
      </w:r>
    </w:p>
    <w:p>
      <w:r>
        <w:t xml:space="preserve">Prestataire </w:t>
      </w:r>
      <w:r>
        <w:rPr>
          <w:b/>
        </w:rPr>
        <w:t>conserve la maîtrise de l'organisation de son travail</w:t>
      </w:r>
      <w:r>
        <w:t xml:space="preserve"> et du **choix des</w:t>
      </w:r>
    </w:p>
    <w:p>
      <w:r>
        <w:t>moyens et méthodes** pour atteindre ces objectifs.</w:t>
      </w:r>
    </w:p>
    <w:p>
      <w:pPr>
        <w:spacing w:before="200"/>
      </w:pPr>
      <w:r>
        <w:rPr>
          <w:b/>
          <w:color w:val="1F2D50"/>
          <w:sz w:val="25"/>
        </w:rPr>
        <w:t>Article 2 — Mission et périmètre</w:t>
      </w:r>
    </w:p>
    <w:p>
      <w:r>
        <w:t xml:space="preserve">2.1. La mission porte sur le </w:t>
      </w:r>
      <w:r>
        <w:rPr>
          <w:b/>
        </w:rPr>
        <w:t>développement commercial B2B de Salverys</w:t>
      </w:r>
      <w:r>
        <w:t>, en</w:t>
      </w:r>
    </w:p>
    <w:p>
      <w:r>
        <w:rPr>
          <w:b/>
        </w:rPr>
        <w:t>marque blanche d'abord</w:t>
      </w:r>
      <w:r>
        <w:t>, sur les trois niches, par ordre de priorité :</w:t>
      </w:r>
    </w:p>
    <w:p>
      <w:pPr>
        <w:pStyle w:val="ListNumber"/>
      </w:pPr>
      <w:r>
        <w:rPr>
          <w:b/>
        </w:rPr>
        <w:t>support applicatif N1 pour éditeurs SaaS français</w:t>
      </w:r>
      <w:r>
        <w:t xml:space="preserve"> ;</w:t>
      </w:r>
    </w:p>
    <w:p>
      <w:pPr>
        <w:pStyle w:val="ListNumber"/>
      </w:pPr>
      <w:r>
        <w:rPr>
          <w:b/>
        </w:rPr>
        <w:t>helpdesk IT N1 distant</w:t>
      </w:r>
      <w:r>
        <w:t xml:space="preserve"> ;</w:t>
      </w:r>
    </w:p>
    <w:p>
      <w:pPr>
        <w:pStyle w:val="ListNumber"/>
      </w:pPr>
      <w:r>
        <w:rPr>
          <w:b/>
        </w:rPr>
        <w:t>télésecrétariat médical</w:t>
      </w:r>
      <w:r>
        <w:t>.</w:t>
      </w:r>
    </w:p>
    <w:p>
      <w:r>
        <w:t xml:space="preserve">La cible est constituée de </w:t>
      </w:r>
      <w:r>
        <w:rPr>
          <w:b/>
        </w:rPr>
        <w:t>donneurs d'ordre français</w:t>
      </w:r>
      <w:r>
        <w:t xml:space="preserve"> (télésecrétariats médicaux,</w:t>
      </w:r>
    </w:p>
    <w:p>
      <w:r>
        <w:t>éditeurs / prestataires de support, ESN / MSP), le client final direct venant en second</w:t>
      </w:r>
    </w:p>
    <w:p>
      <w:r>
        <w:t>temps.</w:t>
      </w:r>
    </w:p>
    <w:p>
      <w:r>
        <w:t xml:space="preserve">2.2. À ce titre, la Prestataire réalise notamment les </w:t>
      </w:r>
      <w:r>
        <w:rPr>
          <w:b/>
        </w:rPr>
        <w:t>activités</w:t>
      </w:r>
      <w:r>
        <w:t xml:space="preserve"> suivantes :</w:t>
      </w:r>
    </w:p>
    <w:p>
      <w:pPr>
        <w:pStyle w:val="ListBullet"/>
      </w:pPr>
      <w:r>
        <w:t>Ciblage et constitution de listes de prospects qualifiées ;</w:t>
      </w:r>
    </w:p>
    <w:p>
      <w:pPr>
        <w:pStyle w:val="ListBullet"/>
      </w:pPr>
      <w:r>
        <w:t>Branding de la marque Salverys et du personal branding de Valérien ;</w:t>
      </w:r>
    </w:p>
    <w:p>
      <w:pPr>
        <w:pStyle w:val="ListBullet"/>
      </w:pPr>
      <w:r>
        <w:rPr>
          <w:b/>
        </w:rPr>
        <w:t>Prospection</w:t>
      </w:r>
      <w:r>
        <w:t xml:space="preserve"> (cold mailing via l'outil </w:t>
      </w:r>
      <w:r>
        <w:rPr>
          <w:b/>
        </w:rPr>
        <w:t>Emelia</w:t>
      </w:r>
      <w:r>
        <w:t>, et tout canal pertinent) ;</w:t>
      </w:r>
    </w:p>
    <w:p>
      <w:pPr>
        <w:pStyle w:val="ListBullet"/>
      </w:pPr>
      <w:r>
        <w:t>Qualification des prospects et prise de rendez-vous ;</w:t>
      </w:r>
    </w:p>
    <w:p>
      <w:pPr>
        <w:pStyle w:val="ListBullet"/>
      </w:pPr>
      <w:r>
        <w:rPr>
          <w:b/>
        </w:rPr>
        <w:t>Closing</w:t>
      </w:r>
      <w:r>
        <w:t xml:space="preserve"> (négociation et signature des donneurs d'ordre) ;</w:t>
      </w:r>
    </w:p>
    <w:p>
      <w:pPr>
        <w:pStyle w:val="ListBullet"/>
      </w:pPr>
      <w:r>
        <w:t xml:space="preserve">Suivi et mise à jour du </w:t>
      </w:r>
      <w:r>
        <w:rPr>
          <w:b/>
        </w:rPr>
        <w:t>CRM</w:t>
      </w:r>
      <w:r>
        <w:t>.</w:t>
      </w:r>
    </w:p>
    <w:p>
      <w:r>
        <w:t xml:space="preserve">2.3. </w:t>
      </w:r>
      <w:r>
        <w:rPr>
          <w:b/>
        </w:rPr>
        <w:t>Livrable de cadrage initial.</w:t>
      </w:r>
      <w:r>
        <w:t xml:space="preserve"> Au cours des </w:t>
      </w:r>
      <w:r>
        <w:rPr>
          <w:b/>
        </w:rPr>
        <w:t>premières semaines</w:t>
      </w:r>
      <w:r>
        <w:t xml:space="preserve"> de la mission,</w:t>
      </w:r>
    </w:p>
    <w:p>
      <w:r>
        <w:t xml:space="preserve">la Prestataire remet un </w:t>
      </w:r>
      <w:r>
        <w:rPr>
          <w:b/>
        </w:rPr>
        <w:t>document de cadrage</w:t>
      </w:r>
      <w:r>
        <w:t xml:space="preserve"> comprenant une </w:t>
      </w:r>
      <w:r>
        <w:rPr>
          <w:b/>
        </w:rPr>
        <w:t>réflexion stratégique</w:t>
      </w:r>
    </w:p>
    <w:p>
      <w:r>
        <w:t xml:space="preserve">(ciblage, messages, canaux) et un </w:t>
      </w:r>
      <w:r>
        <w:rPr>
          <w:b/>
        </w:rPr>
        <w:t>rétroplanning</w:t>
      </w:r>
      <w:r>
        <w:t xml:space="preserve"> opérationnel. Ce livrable est régi,</w:t>
      </w:r>
    </w:p>
    <w:p>
      <w:r>
        <w:t>pour ce qui concerne sa propriété et sa cession, par le NDA (Annexe 1, cession des</w:t>
      </w:r>
    </w:p>
    <w:p>
      <w:r>
        <w:t>livrables).</w:t>
      </w:r>
    </w:p>
    <w:p>
      <w:r>
        <w:t xml:space="preserve">2.4. La Prestataire est tenue d'une </w:t>
      </w:r>
      <w:r>
        <w:rPr>
          <w:b/>
        </w:rPr>
        <w:t>obligation de moyens</w:t>
      </w:r>
      <w:r>
        <w:t>. Elle met en œuvre les</w:t>
      </w:r>
    </w:p>
    <w:p>
      <w:r>
        <w:t>diligences d'un professionnel avisé pour développer le portefeuille de la Société, sans</w:t>
      </w:r>
    </w:p>
    <w:p>
      <w:r>
        <w:t>garantie de résultat chiffré.</w:t>
      </w:r>
    </w:p>
    <w:p>
      <w:r>
        <w:t>Toutefois, l'**absence de tout prospect en cours de négociation avancée ou de contrat</w:t>
      </w:r>
    </w:p>
    <w:p>
      <w:r>
        <w:t>signé</w:t>
      </w:r>
      <w:r>
        <w:rPr>
          <w:b/>
        </w:rPr>
        <w:t xml:space="preserve"> à l'issue de la </w:t>
      </w:r>
      <w:r>
        <w:t>période initiale de trois (3) mois** (art. 6.1) constituera un</w:t>
      </w:r>
    </w:p>
    <w:p>
      <w:r>
        <w:t xml:space="preserve">motif légitime pour la Société de </w:t>
      </w:r>
      <w:r>
        <w:rPr>
          <w:b/>
        </w:rPr>
        <w:t>ne pas reconduire le contrat</w:t>
      </w:r>
      <w:r>
        <w:t>, sans que cette</w:t>
      </w:r>
    </w:p>
    <w:p>
      <w:r>
        <w:t>décision puisse être qualifiée de rupture fautive ni ouvrir droit à indemnité. La Société</w:t>
      </w:r>
    </w:p>
    <w:p>
      <w:r>
        <w:t xml:space="preserve">en informera la Prestataire par écrit au plus tard </w:t>
      </w:r>
      <w:r>
        <w:rPr>
          <w:b/>
        </w:rPr>
        <w:t>quinze (15) jours avant le terme</w:t>
      </w:r>
      <w:r>
        <w:t xml:space="preserve"> de</w:t>
      </w:r>
    </w:p>
    <w:p>
      <w:r>
        <w:t>la période initiale ; en l'absence de notification dans ce délai, le contrat se reconduit</w:t>
      </w:r>
    </w:p>
    <w:p>
      <w:r>
        <w:t>dans les conditions de l'art. 6.2.</w:t>
      </w:r>
    </w:p>
    <w:p>
      <w:pPr>
        <w:spacing w:before="200"/>
      </w:pPr>
      <w:r>
        <w:rPr>
          <w:b/>
          <w:color w:val="1F2D50"/>
          <w:sz w:val="25"/>
        </w:rPr>
        <w:t>Article 3 — Définition du « Contrat gagné » (déclencheur de la commission)</w:t>
      </w:r>
    </w:p>
    <w:p>
      <w:r>
        <w:t xml:space="preserve">3.1. Un </w:t>
      </w:r>
      <w:r>
        <w:rPr>
          <w:b/>
        </w:rPr>
        <w:t>« Contrat gagné »</w:t>
      </w:r>
      <w:r>
        <w:t xml:space="preserve"> suppose la réunion </w:t>
      </w:r>
      <w:r>
        <w:rPr>
          <w:b/>
        </w:rPr>
        <w:t>cumulative</w:t>
      </w:r>
      <w:r>
        <w:t xml:space="preserve"> des conditions suivantes :</w:t>
      </w:r>
    </w:p>
    <w:p>
      <w:pPr>
        <w:pStyle w:val="ListBullet"/>
      </w:pPr>
      <w:r>
        <w:t xml:space="preserve">un </w:t>
      </w:r>
      <w:r>
        <w:rPr>
          <w:b/>
        </w:rPr>
        <w:t>donneur d'ordre (ou client) a signé</w:t>
      </w:r>
      <w:r>
        <w:t xml:space="preserve"> le contrat de prestation ;</w:t>
      </w:r>
    </w:p>
    <w:p>
      <w:pPr>
        <w:pStyle w:val="ListBullet"/>
      </w:pPr>
      <w:r>
        <w:t xml:space="preserve">le </w:t>
      </w:r>
      <w:r>
        <w:rPr>
          <w:b/>
        </w:rPr>
        <w:t>premier mois de prestation</w:t>
      </w:r>
      <w:r>
        <w:t xml:space="preserve"> (mois de lancement, facturé à </w:t>
      </w:r>
      <w:r>
        <w:rPr>
          <w:b/>
        </w:rPr>
        <w:t>−50 %</w:t>
      </w:r>
      <w:r>
        <w:t>) a été</w:t>
      </w:r>
    </w:p>
    <w:p>
      <w:r>
        <w:rPr>
          <w:b/>
        </w:rPr>
        <w:t>encaissé</w:t>
      </w:r>
      <w:r>
        <w:t xml:space="preserve"> par la Société ;</w:t>
      </w:r>
    </w:p>
    <w:p>
      <w:pPr>
        <w:pStyle w:val="ListBullet"/>
      </w:pPr>
      <w:r>
        <w:t xml:space="preserve">le </w:t>
      </w:r>
      <w:r>
        <w:rPr>
          <w:b/>
        </w:rPr>
        <w:t>deuxième mois de prestation</w:t>
      </w:r>
      <w:r>
        <w:t xml:space="preserve"> (</w:t>
      </w:r>
      <w:r>
        <w:rPr>
          <w:b/>
        </w:rPr>
        <w:t>premier mois à plein tarif</w:t>
      </w:r>
      <w:r>
        <w:t>) a **également été</w:t>
      </w:r>
    </w:p>
    <w:p>
      <w:r>
        <w:t>encaissé** par la Société (paiement reçu sur son compte) ;</w:t>
      </w:r>
    </w:p>
    <w:p>
      <w:pPr>
        <w:pStyle w:val="ListBullet"/>
      </w:pPr>
      <w:r>
        <w:rPr>
          <w:b/>
        </w:rPr>
        <w:t>aucune résiliation</w:t>
      </w:r>
      <w:r>
        <w:t xml:space="preserve"> n'est intervenue avant cet encaissement.</w:t>
      </w:r>
    </w:p>
    <w:p>
      <w:r>
        <w:t xml:space="preserve">La </w:t>
      </w:r>
      <w:r>
        <w:rPr>
          <w:b/>
        </w:rPr>
        <w:t>seule signature ne suffit pas</w:t>
      </w:r>
      <w:r>
        <w:t>, ni même l'encaissement du seul mois de lancement à</w:t>
      </w:r>
    </w:p>
    <w:p>
      <w:r>
        <w:t>−50 % : la commission n'est due qu'une fois **confirmé que le client poursuit au-delà du</w:t>
      </w:r>
    </w:p>
    <w:p>
      <w:r>
        <w:t>pilote</w:t>
      </w:r>
      <w:r>
        <w:rPr>
          <w:b/>
        </w:rPr>
        <w:t xml:space="preserve">, c'est-à-dire </w:t>
      </w:r>
      <w:r>
        <w:t>après encaissement du premier mois à plein tarif (deuxième mois de</w:t>
      </w:r>
    </w:p>
    <w:p>
      <w:r>
        <w:t>prestation)**.</w:t>
      </w:r>
    </w:p>
    <w:p>
      <w:r>
        <w:rPr>
          <w:b/>
        </w:rPr>
        <w:t>Exemple.</w:t>
      </w:r>
      <w:r>
        <w:t xml:space="preserve"> Signature le 10 mai → début de prestation le 1er juin → encaissement du 1er</w:t>
      </w:r>
    </w:p>
    <w:p>
      <w:r>
        <w:t>mois (−50 %) fin juin → encaissement du 2e mois (plein tarif) fin juillet → **commission</w:t>
      </w:r>
    </w:p>
    <w:p>
      <w:r>
        <w:t>due et payable en juillet** (à 15 jours fin de mois, art. 5.2). La prime n'est donc versée</w:t>
      </w:r>
    </w:p>
    <w:p>
      <w:r>
        <w:rPr>
          <w:b/>
        </w:rPr>
        <w:t>ni au mois de signature, ni au seul mois de lancement</w:t>
      </w:r>
      <w:r>
        <w:t>.</w:t>
      </w:r>
    </w:p>
    <w:p>
      <w:r>
        <w:t xml:space="preserve">3.2. </w:t>
      </w:r>
      <w:r>
        <w:rPr>
          <w:b/>
        </w:rPr>
        <w:t>Unité de décompte : PAR DONNEUR D'ORDRE</w:t>
      </w:r>
      <w:r>
        <w:t xml:space="preserve"> (par client signé), **indépendamment du</w:t>
      </w:r>
    </w:p>
    <w:p>
      <w:r>
        <w:t>nombre d'ETP** ou de positions placés au titre de ce contrat. Un même donneur d'ordre</w:t>
      </w:r>
    </w:p>
    <w:p>
      <w:r>
        <w:t xml:space="preserve">ouvrant plusieurs niches ou plusieurs ETP ne donne droit qu'à </w:t>
      </w:r>
      <w:r>
        <w:rPr>
          <w:b/>
        </w:rPr>
        <w:t>une seule</w:t>
      </w:r>
      <w:r>
        <w:t xml:space="preserve"> commission.</w:t>
      </w:r>
    </w:p>
    <w:p>
      <w:r>
        <w:t>3.3. La commission est due à la Prestataire dès lors que le Contrat gagné résulte de son</w:t>
      </w:r>
    </w:p>
    <w:p>
      <w:r>
        <w:t>action de prospection / closing au cours de la mission. En cas de doute sur l'origine d'un</w:t>
      </w:r>
    </w:p>
    <w:p>
      <w:r>
        <w:t>contrat, les Parties s'accordent de bonne foi sur la base des traces du CRM.</w:t>
      </w:r>
    </w:p>
    <w:p>
      <w:pPr>
        <w:spacing w:before="200"/>
      </w:pPr>
      <w:r>
        <w:rPr>
          <w:b/>
          <w:color w:val="1F2D50"/>
          <w:sz w:val="25"/>
        </w:rPr>
        <w:t>Article 4 — Rémunération (profil ① Sécurité)</w:t>
      </w:r>
    </w:p>
    <w:p>
      <w:pPr>
        <w:spacing w:before="80" w:after="160"/>
        <w:ind w:left="283"/>
        <w:pBdr>
          <w:left w:val="single" w:sz="18" w:space="8" w:color="C9A24B"/>
        </w:pBdr>
      </w:pPr>
      <w:r>
        <w:rPr>
          <w:b/>
          <w:color w:val="6B7280"/>
          <w:sz w:val="19"/>
        </w:rPr>
        <w:t>Repère interne</w:t>
      </w:r>
      <w:r>
        <w:rPr>
          <w:color w:val="6B7280"/>
          <w:sz w:val="19"/>
        </w:rPr>
        <w:t xml:space="preserve"> : le fee freelance standard Salverys est de </w:t>
      </w:r>
      <w:r>
        <w:rPr>
          <w:b/>
          <w:color w:val="6B7280"/>
          <w:sz w:val="19"/>
        </w:rPr>
        <w:t>3 250 000 Ar/mois</w:t>
      </w:r>
      <w:r>
        <w:rPr>
          <w:color w:val="6B7280"/>
          <w:sz w:val="19"/>
        </w:rPr>
        <w:t xml:space="preserve"> (cf. </w:t>
      </w:r>
      <w:r>
        <w:rPr>
          <w:rFonts w:ascii="Consolas" w:hAnsi="Consolas"/>
          <w:color w:val="6B7280"/>
          <w:sz w:val="19"/>
        </w:rPr>
        <w:t>FINANCE-PREVISIONNEL.md §1</w:t>
      </w:r>
      <w:r>
        <w:rPr>
          <w:color w:val="6B7280"/>
          <w:sz w:val="19"/>
        </w:rPr>
        <w:t xml:space="preserve">). Le présent profil ① « Sécurité » combine un fixe modéré et une commission </w:t>
      </w:r>
      <w:r>
        <w:rPr>
          <w:b/>
          <w:color w:val="6B7280"/>
          <w:sz w:val="19"/>
        </w:rPr>
        <w:t>déplafonnée</w:t>
      </w:r>
      <w:r>
        <w:rPr>
          <w:color w:val="6B7280"/>
          <w:sz w:val="19"/>
        </w:rPr>
        <w:t>.</w:t>
      </w:r>
    </w:p>
    <w:p>
      <w:r>
        <w:t xml:space="preserve">4.1. </w:t>
      </w:r>
      <w:r>
        <w:rPr>
          <w:b/>
        </w:rPr>
        <w:t>Honoraires fixes</w:t>
      </w:r>
      <w:r>
        <w:t xml:space="preserve"> : </w:t>
      </w:r>
      <w:r>
        <w:rPr>
          <w:b/>
        </w:rPr>
        <w:t>2 800 000 Ar par mois</w:t>
      </w:r>
      <w:r>
        <w:t xml:space="preserve"> (deux millions huit cent mille</w:t>
      </w:r>
    </w:p>
    <w:p>
      <w:r>
        <w:t>ariary), facturés mensuellement par la Prestataire.</w:t>
      </w:r>
    </w:p>
    <w:p>
      <w:r>
        <w:t xml:space="preserve">4.2. </w:t>
      </w:r>
      <w:r>
        <w:rPr>
          <w:b/>
        </w:rPr>
        <w:t>Commission de performance</w:t>
      </w:r>
      <w:r>
        <w:t xml:space="preserve"> : prime </w:t>
      </w:r>
      <w:r>
        <w:rPr>
          <w:b/>
        </w:rPr>
        <w:t>« one-shot » DÉPLAFONNÉE</w:t>
      </w:r>
      <w:r>
        <w:t xml:space="preserve"> de </w:t>
      </w:r>
      <w:r>
        <w:rPr>
          <w:b/>
        </w:rPr>
        <w:t>400 €</w:t>
      </w:r>
    </w:p>
    <w:p>
      <w:r>
        <w:t xml:space="preserve">(quatre cents euros, soit </w:t>
      </w:r>
      <w:r>
        <w:rPr>
          <w:b/>
        </w:rPr>
        <w:t>≈ 2 000 000 Ar</w:t>
      </w:r>
      <w:r>
        <w:t xml:space="preserve"> au taux de référence ~5 000 Ar = 1 €),</w:t>
      </w:r>
    </w:p>
    <w:p>
      <w:r>
        <w:t xml:space="preserve">versée </w:t>
      </w:r>
      <w:r>
        <w:rPr>
          <w:b/>
        </w:rPr>
        <w:t>une seule fois par Contrat gagné</w:t>
      </w:r>
      <w:r>
        <w:t xml:space="preserve"> au sens de l'article 3. Le nombre de</w:t>
      </w:r>
    </w:p>
    <w:p>
      <w:r>
        <w:t xml:space="preserve">commissions n'est </w:t>
      </w:r>
      <w:r>
        <w:rPr>
          <w:b/>
        </w:rPr>
        <w:t>pas plafonné</w:t>
      </w:r>
      <w:r>
        <w:t>.</w:t>
      </w:r>
    </w:p>
    <w:p>
      <w:r>
        <w:t>4.3. La commission est facturable au titre du **mois civil au cours duquel le deuxième mois</w:t>
      </w:r>
    </w:p>
    <w:p>
      <w:r>
        <w:t>de prestation (premier mois à plein tarif) est encaissé** (toutes les conditions de</w:t>
      </w:r>
    </w:p>
    <w:p>
      <w:r>
        <w:t xml:space="preserve">l'art. 3.1 étant réunies) ; elle ne peut être facturée </w:t>
      </w:r>
      <w:r>
        <w:rPr>
          <w:b/>
        </w:rPr>
        <w:t>ni</w:t>
      </w:r>
      <w:r>
        <w:t xml:space="preserve"> au titre du mois de</w:t>
      </w:r>
    </w:p>
    <w:p>
      <w:r>
        <w:t xml:space="preserve">signature, </w:t>
      </w:r>
      <w:r>
        <w:rPr>
          <w:b/>
        </w:rPr>
        <w:t>ni</w:t>
      </w:r>
      <w:r>
        <w:t xml:space="preserve"> au seul titre de l'encaissement du mois de lancement à −50 %.</w:t>
      </w:r>
    </w:p>
    <w:p>
      <w:r>
        <w:t xml:space="preserve">4.4. </w:t>
      </w:r>
      <w:r>
        <w:rPr>
          <w:b/>
        </w:rPr>
        <w:t>Devise et conversion.</w:t>
      </w:r>
      <w:r>
        <w:t xml:space="preserve"> Tous les montants — honoraires fixes et commission de</w:t>
      </w:r>
    </w:p>
    <w:p>
      <w:r>
        <w:t xml:space="preserve">performance — sont </w:t>
      </w:r>
      <w:r>
        <w:rPr>
          <w:b/>
        </w:rPr>
        <w:t>payés exclusivement en ariary (Ar)</w:t>
      </w:r>
      <w:r>
        <w:t>. La commission est exprimée en</w:t>
      </w:r>
    </w:p>
    <w:p>
      <w:r>
        <w:t>euros à titre indicatif uniquement ; elle est **convertie en ariary au taux de change</w:t>
      </w:r>
    </w:p>
    <w:p>
      <w:r>
        <w:t>officiel EUR/MGA publié par la Banque Centrale de Madagascar (BCM) à la date d'émission</w:t>
      </w:r>
    </w:p>
    <w:p>
      <w:r>
        <w:t>de la facture** correspondante. Aucun paiement n'est effectué en euros.</w:t>
      </w:r>
    </w:p>
    <w:p>
      <w:r>
        <w:t xml:space="preserve">4.5. Les honoraires et commissions sont exprimés </w:t>
      </w:r>
      <w:r>
        <w:rPr>
          <w:b/>
        </w:rPr>
        <w:t>hors taxes</w:t>
      </w:r>
      <w:r>
        <w:t xml:space="preserve"> le cas échéant ; la</w:t>
      </w:r>
    </w:p>
    <w:p>
      <w:r>
        <w:t>Prestataire fait son affaire de toute obligation déclarative ou fiscale lui incombant.</w:t>
      </w:r>
    </w:p>
    <w:p>
      <w:pPr>
        <w:spacing w:before="200"/>
      </w:pPr>
      <w:r>
        <w:rPr>
          <w:b/>
          <w:color w:val="1F2D50"/>
          <w:sz w:val="25"/>
        </w:rPr>
        <w:t>Article 5 — Facturation et paiement</w:t>
      </w:r>
    </w:p>
    <w:p>
      <w:r>
        <w:t xml:space="preserve">5.1. La Prestataire </w:t>
      </w:r>
      <w:r>
        <w:rPr>
          <w:b/>
        </w:rPr>
        <w:t>émet une facture mensuelle</w:t>
      </w:r>
      <w:r>
        <w:t xml:space="preserve"> récapitulant les honoraires fixes et,</w:t>
      </w:r>
    </w:p>
    <w:p>
      <w:r>
        <w:t>le cas échéant, la (les) commission(s) de performance due(s) au titre du mois.</w:t>
      </w:r>
    </w:p>
    <w:p>
      <w:r>
        <w:t xml:space="preserve">5.2. </w:t>
      </w:r>
      <w:r>
        <w:rPr>
          <w:b/>
        </w:rPr>
        <w:t>Délai de paiement : à 15 jours fin de mois</w:t>
      </w:r>
      <w:r>
        <w:t xml:space="preserve"> (paiement intervenant dans les quinze</w:t>
      </w:r>
    </w:p>
    <w:p>
      <w:r>
        <w:t>jours suivant la fin du mois d'émission de la facture).</w:t>
      </w:r>
    </w:p>
    <w:p>
      <w:r>
        <w:t xml:space="preserve">5.3. </w:t>
      </w:r>
      <w:r>
        <w:rPr>
          <w:b/>
        </w:rPr>
        <w:t>Moyen de paiement</w:t>
      </w:r>
      <w:r>
        <w:t xml:space="preserve"> : le moyen de paiement retenu (virement bancaire, mobile money</w:t>
      </w:r>
    </w:p>
    <w:p>
      <w:r>
        <w:t>ou autre) ainsi que les coordonnées nécessaires au règlement sont **indiqués par la</w:t>
      </w:r>
    </w:p>
    <w:p>
      <w:r>
        <w:t>Prestataire sur chaque facture**. La Société effectue le paiement selon ces instructions.</w:t>
      </w:r>
    </w:p>
    <w:p>
      <w:r>
        <w:t>5.4. Chaque facture mentionne les éléments légaux requis (identité de la Prestataire,</w:t>
      </w:r>
    </w:p>
    <w:p>
      <w:r>
        <w:t>numéro d'identification, date, détail de la prestation).</w:t>
      </w:r>
    </w:p>
    <w:p>
      <w:pPr>
        <w:spacing w:before="200"/>
      </w:pPr>
      <w:r>
        <w:rPr>
          <w:b/>
          <w:color w:val="1F2D50"/>
          <w:sz w:val="25"/>
        </w:rPr>
        <w:t>Article 6 — Durée, reconduction et résiliation</w:t>
      </w:r>
    </w:p>
    <w:p>
      <w:r>
        <w:t xml:space="preserve">6.1. </w:t>
      </w:r>
      <w:r>
        <w:rPr>
          <w:b/>
        </w:rPr>
        <w:t>Période initiale</w:t>
      </w:r>
      <w:r>
        <w:t xml:space="preserve"> : le contrat est conclu pour une durée initiale de **trois (3)</w:t>
      </w:r>
    </w:p>
    <w:p>
      <w:r>
        <w:t>mois** à compter de sa signature (ou du [______]).</w:t>
      </w:r>
    </w:p>
    <w:p>
      <w:r>
        <w:t xml:space="preserve">6.2. </w:t>
      </w:r>
      <w:r>
        <w:rPr>
          <w:b/>
        </w:rPr>
        <w:t>Reconduction</w:t>
      </w:r>
      <w:r>
        <w:t xml:space="preserve"> : à l'issue de la période initiale, le contrat se **reconduit</w:t>
      </w:r>
    </w:p>
    <w:p>
      <w:r>
        <w:t>tacitement** pour des périodes successives d'un (1) mois, tant qu'aucune Partie ne l'a</w:t>
      </w:r>
    </w:p>
    <w:p>
      <w:r>
        <w:t>résilié dans les conditions de l'art. 6.3.</w:t>
      </w:r>
    </w:p>
    <w:p>
      <w:r>
        <w:t xml:space="preserve">6.3. </w:t>
      </w:r>
      <w:r>
        <w:rPr>
          <w:b/>
        </w:rPr>
        <w:t>Préavis de résiliation</w:t>
      </w:r>
      <w:r>
        <w:t xml:space="preserve"> : chacune des Parties peut résilier le contrat, à tout</w:t>
      </w:r>
    </w:p>
    <w:p>
      <w:r>
        <w:t xml:space="preserve">moment après la période initiale, moyennant un </w:t>
      </w:r>
      <w:r>
        <w:rPr>
          <w:b/>
        </w:rPr>
        <w:t>préavis d'un (1) mois</w:t>
      </w:r>
      <w:r>
        <w:t xml:space="preserve"> notifié par écrit</w:t>
      </w:r>
    </w:p>
    <w:p>
      <w:r>
        <w:t>(courriel avec accusé suffisant). Pendant le préavis, la mission se poursuit dans des</w:t>
      </w:r>
    </w:p>
    <w:p>
      <w:r>
        <w:t>conditions normales.</w:t>
      </w:r>
    </w:p>
    <w:p>
      <w:r>
        <w:t xml:space="preserve">6.4. </w:t>
      </w:r>
      <w:r>
        <w:rPr>
          <w:b/>
        </w:rPr>
        <w:t>Résiliation pour manquement grave</w:t>
      </w:r>
      <w:r>
        <w:t xml:space="preserve"> : en cas de manquement grave d'une Partie non</w:t>
      </w:r>
    </w:p>
    <w:p>
      <w:r>
        <w:t xml:space="preserve">réparé </w:t>
      </w:r>
      <w:r>
        <w:rPr>
          <w:b/>
        </w:rPr>
        <w:t>[__ jours]</w:t>
      </w:r>
      <w:r>
        <w:t xml:space="preserve"> après mise en demeure écrite restée sans effet, l'autre Partie peut</w:t>
      </w:r>
    </w:p>
    <w:p>
      <w:r>
        <w:t>résilier de plein droit, sans préjudice de tous dommages-intérêts.</w:t>
      </w:r>
    </w:p>
    <w:p>
      <w:r>
        <w:t xml:space="preserve">6.5. </w:t>
      </w:r>
      <w:r>
        <w:rPr>
          <w:b/>
        </w:rPr>
        <w:t>Effets de la fin du contrat</w:t>
      </w:r>
      <w:r>
        <w:t xml:space="preserve"> : la Prestataire restitue ou détruit, selon les</w:t>
      </w:r>
    </w:p>
    <w:p>
      <w:r>
        <w:t>instructions de la Société, les accès, données et matériels confiés, conformément au NDA</w:t>
      </w:r>
    </w:p>
    <w:p>
      <w:r>
        <w:t>(Annexe 1). Les commissions afférentes à des « Contrats gagnés » dont les conditions</w:t>
      </w:r>
    </w:p>
    <w:p>
      <w:r>
        <w:t xml:space="preserve">(art. 3.1) étaient réunies </w:t>
      </w:r>
      <w:r>
        <w:rPr>
          <w:b/>
        </w:rPr>
        <w:t>avant</w:t>
      </w:r>
      <w:r>
        <w:t xml:space="preserve"> la date d'effet de la résiliation restent </w:t>
      </w:r>
      <w:r>
        <w:rPr>
          <w:b/>
        </w:rPr>
        <w:t>dues</w:t>
      </w:r>
      <w:r>
        <w:t>.</w:t>
      </w:r>
    </w:p>
    <w:p>
      <w:pPr>
        <w:spacing w:before="200"/>
      </w:pPr>
      <w:r>
        <w:rPr>
          <w:b/>
          <w:color w:val="1F2D50"/>
          <w:sz w:val="25"/>
        </w:rPr>
        <w:t>Article 7 — Loyauté et non-concurrence limitée (pendant la mission)</w:t>
      </w:r>
    </w:p>
    <w:p>
      <w:r>
        <w:t xml:space="preserve">7.1. </w:t>
      </w:r>
      <w:r>
        <w:rPr>
          <w:b/>
        </w:rPr>
        <w:t>Pas d'exclusivité totale.</w:t>
      </w:r>
      <w:r>
        <w:t xml:space="preserve"> La Prestataire conserve la liberté d'exercer pour</w:t>
      </w:r>
    </w:p>
    <w:p>
      <w:r>
        <w:t xml:space="preserve">d'autres clients </w:t>
      </w:r>
      <w:r>
        <w:rPr>
          <w:b/>
        </w:rPr>
        <w:t>non concurrents</w:t>
      </w:r>
      <w:r>
        <w:t xml:space="preserve"> de la Société. Aucune obligation d'exclusivité</w:t>
      </w:r>
    </w:p>
    <w:p>
      <w:r>
        <w:t>générale ne lui est imposée.</w:t>
      </w:r>
    </w:p>
    <w:p>
      <w:r>
        <w:t xml:space="preserve">7.2. </w:t>
      </w:r>
      <w:r>
        <w:rPr>
          <w:b/>
        </w:rPr>
        <w:t>Non-concurrence limitée pendant la durée de la mission.</w:t>
      </w:r>
      <w:r>
        <w:t xml:space="preserve"> Pendant toute l'exécution</w:t>
      </w:r>
    </w:p>
    <w:p>
      <w:r>
        <w:t>du contrat, la Prestataire **s'interdit de prester, directement ou indirectement, pour un</w:t>
      </w:r>
    </w:p>
    <w:p>
      <w:r>
        <w:t>concurrent direct** de Salverys, c'est-à-dire tout acteur proposant des services</w:t>
      </w:r>
    </w:p>
    <w:p>
      <w:r>
        <w:t xml:space="preserve">équivalents sur les </w:t>
      </w:r>
      <w:r>
        <w:rPr>
          <w:b/>
        </w:rPr>
        <w:t>mêmes niches</w:t>
      </w:r>
      <w:r>
        <w:t xml:space="preserve"> — **télésecrétariat médical, support applicatif N1</w:t>
      </w:r>
    </w:p>
    <w:p>
      <w:r>
        <w:t>SaaS, helpdesk IT N1 — à destination du marché français**.</w:t>
      </w:r>
    </w:p>
    <w:p>
      <w:r>
        <w:t xml:space="preserve">7.3. </w:t>
      </w:r>
      <w:r>
        <w:rPr>
          <w:b/>
        </w:rPr>
        <w:t>Obligation de loyauté.</w:t>
      </w:r>
      <w:r>
        <w:t xml:space="preserve"> La Prestataire exécute sa mission de bonne foi, dans</w:t>
      </w:r>
    </w:p>
    <w:p>
      <w:r>
        <w:t>l'intérêt de la Société, et s'abstient de tout acte de nature à détourner des opportunités</w:t>
      </w:r>
    </w:p>
    <w:p>
      <w:r>
        <w:t>commerciales de la Société à son profit ou au profit d'un tiers concurrent.</w:t>
      </w:r>
    </w:p>
    <w:p>
      <w:r>
        <w:t xml:space="preserve">7.4. </w:t>
      </w:r>
      <w:r>
        <w:rPr>
          <w:b/>
        </w:rPr>
        <w:t>Non-sollicitation.</w:t>
      </w:r>
      <w:r>
        <w:t xml:space="preserve"> La non-sollicitation des contacts, prospects et clients de la</w:t>
      </w:r>
    </w:p>
    <w:p>
      <w:r>
        <w:t xml:space="preserve">Société est régie par le </w:t>
      </w:r>
      <w:r>
        <w:rPr>
          <w:b/>
        </w:rPr>
        <w:t>NDA (Annexe 1, art. 5 — durée 24 mois)</w:t>
      </w:r>
      <w:r>
        <w:t xml:space="preserve"> et n'est pas reprise</w:t>
      </w:r>
    </w:p>
    <w:p>
      <w:r>
        <w:t>ici pour éviter toute redondance.</w:t>
      </w:r>
    </w:p>
    <w:p>
      <w:r>
        <w:t>7.5. Ces stipulations, limitées aux concurrents directs sur les niches et au marché</w:t>
      </w:r>
    </w:p>
    <w:p>
      <w:r>
        <w:t xml:space="preserve">français, sont </w:t>
      </w:r>
      <w:r>
        <w:rPr>
          <w:b/>
        </w:rPr>
        <w:t>proportionnées</w:t>
      </w:r>
      <w:r>
        <w:t xml:space="preserve"> à la protection des intérêts légitimes de la Société et</w:t>
      </w:r>
    </w:p>
    <w:p>
      <w:r>
        <w:rPr>
          <w:b/>
        </w:rPr>
        <w:t>ne privent pas</w:t>
      </w:r>
      <w:r>
        <w:t xml:space="preserve"> la Prestataire d'exercer son activité auprès d'autres clients.</w:t>
      </w:r>
    </w:p>
    <w:p>
      <w:pPr>
        <w:spacing w:before="200"/>
      </w:pPr>
      <w:r>
        <w:rPr>
          <w:b/>
          <w:color w:val="1F2D50"/>
          <w:sz w:val="25"/>
        </w:rPr>
        <w:t>Article 8 — Confidentialité, non-sollicitation et propriété intellectuelle (renvoi NDA)</w:t>
      </w:r>
    </w:p>
    <w:p>
      <w:r>
        <w:t xml:space="preserve">8.1. Les obligations de </w:t>
      </w:r>
      <w:r>
        <w:rPr>
          <w:b/>
        </w:rPr>
        <w:t>confidentialité</w:t>
      </w:r>
      <w:r>
        <w:t xml:space="preserve"> (durée </w:t>
      </w:r>
      <w:r>
        <w:rPr>
          <w:b/>
        </w:rPr>
        <w:t>3 ans</w:t>
      </w:r>
      <w:r>
        <w:t xml:space="preserve">), de </w:t>
      </w:r>
      <w:r>
        <w:rPr>
          <w:b/>
        </w:rPr>
        <w:t>non-sollicitation</w:t>
      </w:r>
    </w:p>
    <w:p>
      <w:r>
        <w:t xml:space="preserve">(durée </w:t>
      </w:r>
      <w:r>
        <w:rPr>
          <w:b/>
        </w:rPr>
        <w:t>24 mois</w:t>
      </w:r>
      <w:r>
        <w:t xml:space="preserve">) et de </w:t>
      </w:r>
      <w:r>
        <w:rPr>
          <w:b/>
        </w:rPr>
        <w:t>cession des livrables / propriété intellectuelle</w:t>
      </w:r>
      <w:r>
        <w:t xml:space="preserve"> sont</w:t>
      </w:r>
    </w:p>
    <w:p>
      <w:r>
        <w:t xml:space="preserve">intégralement régies par le </w:t>
      </w:r>
      <w:r>
        <w:rPr>
          <w:b/>
        </w:rPr>
        <w:t>NDA-CONSULTANT-VIV0010-Randrianasinoro</w:t>
      </w:r>
      <w:r>
        <w:t xml:space="preserve"> (Annexe 1), que</w:t>
      </w:r>
    </w:p>
    <w:p>
      <w:r>
        <w:t xml:space="preserve">les Parties déclarent avoir signé et qui </w:t>
      </w:r>
      <w:r>
        <w:rPr>
          <w:b/>
        </w:rPr>
        <w:t>demeure en vigueur</w:t>
      </w:r>
      <w:r>
        <w:t>.</w:t>
      </w:r>
    </w:p>
    <w:p>
      <w:r>
        <w:t xml:space="preserve">8.2. Le NDA prévoit notamment une </w:t>
      </w:r>
      <w:r>
        <w:rPr>
          <w:b/>
        </w:rPr>
        <w:t>clause pénale de 20 000 000 Ar</w:t>
      </w:r>
      <w:r>
        <w:t xml:space="preserve"> (art. 10 du NDA) en</w:t>
      </w:r>
    </w:p>
    <w:p>
      <w:r>
        <w:t xml:space="preserve">cas de manquement, et confirme le </w:t>
      </w:r>
      <w:r>
        <w:rPr>
          <w:b/>
        </w:rPr>
        <w:t>statut indépendant</w:t>
      </w:r>
      <w:r>
        <w:t xml:space="preserve"> de la Prestataire (art. 7 du</w:t>
      </w:r>
    </w:p>
    <w:p>
      <w:r>
        <w:t xml:space="preserve">NDA). Ces stipulations sont </w:t>
      </w:r>
      <w:r>
        <w:rPr>
          <w:b/>
        </w:rPr>
        <w:t>réputées faire partie intégrante</w:t>
      </w:r>
      <w:r>
        <w:t xml:space="preserve"> du présent contrat et ne</w:t>
      </w:r>
    </w:p>
    <w:p>
      <w:r>
        <w:t>sont pas réécrites.</w:t>
      </w:r>
    </w:p>
    <w:p>
      <w:r>
        <w:t>8.3. En cas de contradiction entre le présent contrat et le NDA sur les volets</w:t>
      </w:r>
    </w:p>
    <w:p>
      <w:r>
        <w:t xml:space="preserve">confidentialité, non-sollicitation ou propriété des livrables, </w:t>
      </w:r>
      <w:r>
        <w:rPr>
          <w:b/>
        </w:rPr>
        <w:t>le NDA prévaut</w:t>
      </w:r>
      <w:r>
        <w:t>.</w:t>
      </w:r>
    </w:p>
    <w:p>
      <w:pPr>
        <w:spacing w:before="200"/>
      </w:pPr>
      <w:r>
        <w:rPr>
          <w:b/>
          <w:color w:val="1F2D50"/>
          <w:sz w:val="25"/>
        </w:rPr>
        <w:t>Article 9 — Protection des données personnelles</w:t>
      </w:r>
    </w:p>
    <w:p>
      <w:r>
        <w:t>9.1. Dans la mesure où la mission conduit la Prestataire à traiter des données à caractère</w:t>
      </w:r>
    </w:p>
    <w:p>
      <w:r>
        <w:t>personnel pour le compte de la Société (fichiers de prospection, contacts CRM), les</w:t>
      </w:r>
    </w:p>
    <w:p>
      <w:r>
        <w:t xml:space="preserve">Parties concluent, </w:t>
      </w:r>
      <w:r>
        <w:rPr>
          <w:b/>
        </w:rPr>
        <w:t>si nécessaire</w:t>
      </w:r>
      <w:r>
        <w:t xml:space="preserve">, un </w:t>
      </w:r>
      <w:r>
        <w:rPr>
          <w:b/>
        </w:rPr>
        <w:t>accord de traitement de données (DPA)</w:t>
      </w:r>
    </w:p>
    <w:p>
      <w:r>
        <w:t>conforme à la réglementation applicable (RGPD pour les données de prospects français) —</w:t>
      </w:r>
    </w:p>
    <w:p>
      <w:r>
        <w:t xml:space="preserve">modèle </w:t>
      </w:r>
      <w:r>
        <w:rPr>
          <w:rFonts w:ascii="Consolas" w:hAnsi="Consolas"/>
          <w:color w:val="6B7280"/>
          <w:sz w:val="19"/>
        </w:rPr>
        <w:t>04-Closing/MODELE-DPA-RGPD.md</w:t>
      </w:r>
      <w:r>
        <w:t>, comme prévu à l'art. 9 du NDA — qui viendra</w:t>
      </w:r>
    </w:p>
    <w:p>
      <w:r>
        <w:t>compléter le présent contrat.</w:t>
      </w:r>
    </w:p>
    <w:p>
      <w:r>
        <w:t>9.2. La Prestataire s'engage à n'utiliser ces données que pour les besoins de la mission,</w:t>
      </w:r>
    </w:p>
    <w:p>
      <w:r>
        <w:t>à les sécuriser et à ne pas les conserver au-delà de ce qui est nécessaire, conformément</w:t>
      </w:r>
    </w:p>
    <w:p>
      <w:r>
        <w:t>au NDA et au DPA le cas échéant.</w:t>
      </w:r>
    </w:p>
    <w:p>
      <w:pPr>
        <w:spacing w:before="200"/>
      </w:pPr>
      <w:r>
        <w:rPr>
          <w:b/>
          <w:color w:val="1F2D50"/>
          <w:sz w:val="25"/>
        </w:rPr>
        <w:t>Article 10 — Indépendance des stipulations</w:t>
      </w:r>
    </w:p>
    <w:p>
      <w:r>
        <w:t>Si l'une des stipulations du présent contrat était jugée nulle ou inapplicable, les autres</w:t>
      </w:r>
    </w:p>
    <w:p>
      <w:r>
        <w:t>stipulations conserveraient leur plein effet. Les Parties s'efforceraient de remplacer la</w:t>
      </w:r>
    </w:p>
    <w:p>
      <w:r>
        <w:t>clause invalidée par une clause valide poursuivant un objectif équivalent.</w:t>
      </w:r>
    </w:p>
    <w:p>
      <w:pPr>
        <w:spacing w:before="200"/>
      </w:pPr>
      <w:r>
        <w:rPr>
          <w:b/>
          <w:color w:val="1F2D50"/>
          <w:sz w:val="25"/>
        </w:rPr>
        <w:t>Article 11 — Droit applicable et règlement des litiges</w:t>
      </w:r>
    </w:p>
    <w:p>
      <w:r>
        <w:t xml:space="preserve">11.1. Le présent contrat est régi par le </w:t>
      </w:r>
      <w:r>
        <w:rPr>
          <w:b/>
        </w:rPr>
        <w:t>droit malgache</w:t>
      </w:r>
      <w:r>
        <w:t>.</w:t>
      </w:r>
    </w:p>
    <w:p>
      <w:r>
        <w:t>11.2. En cas de différend relatif à sa formation, son interprétation, son exécution ou sa</w:t>
      </w:r>
    </w:p>
    <w:p>
      <w:r>
        <w:t xml:space="preserve">résiliation, les Parties s'engagent, </w:t>
      </w:r>
      <w:r>
        <w:rPr>
          <w:b/>
        </w:rPr>
        <w:t>préalablement à toute action contentieuse</w:t>
      </w:r>
      <w:r>
        <w:t>, à</w:t>
      </w:r>
    </w:p>
    <w:p>
      <w:r>
        <w:t>rechercher une solution amiable. La Partie la plus diligente notifie à l'autre, par écrit,</w:t>
      </w:r>
    </w:p>
    <w:p>
      <w:r>
        <w:t xml:space="preserve">l'objet du différend ; les Parties disposent alors d'un délai de </w:t>
      </w:r>
      <w:r>
        <w:rPr>
          <w:b/>
        </w:rPr>
        <w:t>trente (30) jours</w:t>
      </w:r>
      <w:r>
        <w:t xml:space="preserve"> à</w:t>
      </w:r>
    </w:p>
    <w:p>
      <w:r>
        <w:t>compter de cette notification pour parvenir à un accord, le cas échéant avec l'assistance</w:t>
      </w:r>
    </w:p>
    <w:p>
      <w:r>
        <w:t>d'un médiateur désigné d'un commun accord.</w:t>
      </w:r>
    </w:p>
    <w:p>
      <w:r>
        <w:t xml:space="preserve">11.3. </w:t>
      </w:r>
      <w:r>
        <w:rPr>
          <w:b/>
        </w:rPr>
        <w:t>À défaut d'accord amiable</w:t>
      </w:r>
      <w:r>
        <w:t xml:space="preserve"> à l'expiration de ce délai, le litige sera porté</w:t>
      </w:r>
    </w:p>
    <w:p>
      <w:r>
        <w:t xml:space="preserve">devant les </w:t>
      </w:r>
      <w:r>
        <w:rPr>
          <w:b/>
        </w:rPr>
        <w:t>tribunaux compétents d'Antananarivo (Madagascar)</w:t>
      </w:r>
      <w:r>
        <w:t>, auxquels les Parties</w:t>
      </w:r>
    </w:p>
    <w:p>
      <w:r>
        <w:t>attribuent expressément compétence.</w:t>
      </w:r>
    </w:p>
    <w:p>
      <w:pPr>
        <w:spacing w:before="40" w:after="40"/>
        <w:pBdr>
          <w:bottom w:val="single" w:sz="6" w:space="1" w:color="C7CCD6"/>
        </w:pBdr>
      </w:pPr>
    </w:p>
    <w:p>
      <w:pPr>
        <w:spacing w:before="200"/>
      </w:pPr>
      <w:r>
        <w:rPr>
          <w:b/>
          <w:color w:val="1F2D50"/>
          <w:sz w:val="25"/>
        </w:rPr>
        <w:t>Annexes</w:t>
      </w:r>
    </w:p>
    <w:p>
      <w:pPr>
        <w:pStyle w:val="ListBullet"/>
      </w:pPr>
      <w:r>
        <w:rPr>
          <w:b/>
        </w:rPr>
        <w:t>Annexe 1</w:t>
      </w:r>
      <w:r>
        <w:t xml:space="preserve"> — Accord de confidentialité signé : </w:t>
      </w:r>
      <w:r>
        <w:rPr>
          <w:rFonts w:ascii="Consolas" w:hAnsi="Consolas"/>
          <w:color w:val="6B7280"/>
          <w:sz w:val="19"/>
        </w:rPr>
        <w:t>NDA-CONSULTANT-VIV0010-Randrianasinoro</w:t>
      </w:r>
    </w:p>
    <w:p>
      <w:r>
        <w:t>(confidentialité 3 ans · non-sollicitation 24 mois · cession des livrables · clause</w:t>
      </w:r>
    </w:p>
    <w:p>
      <w:r>
        <w:t>pénale 20 000 000 Ar · statut indépendant art. 7).</w:t>
      </w:r>
    </w:p>
    <w:p>
      <w:pPr>
        <w:pStyle w:val="ListBullet"/>
      </w:pPr>
      <w:r>
        <w:rPr>
          <w:b/>
        </w:rPr>
        <w:t>Annexe 2</w:t>
      </w:r>
      <w:r>
        <w:t xml:space="preserve"> </w:t>
      </w:r>
      <w:r>
        <w:rPr>
          <w:i/>
        </w:rPr>
        <w:t>(le cas échéant)</w:t>
      </w:r>
      <w:r>
        <w:t xml:space="preserve"> — Accord de traitement de données (DPA).</w:t>
      </w:r>
    </w:p>
    <w:p>
      <w:pPr>
        <w:spacing w:before="40" w:after="40"/>
        <w:pBdr>
          <w:bottom w:val="single" w:sz="6" w:space="1" w:color="C7CCD6"/>
        </w:pBdr>
      </w:pPr>
    </w:p>
    <w:p>
      <w:pPr>
        <w:spacing w:before="200"/>
      </w:pPr>
      <w:r>
        <w:rPr>
          <w:b/>
          <w:color w:val="1F2D50"/>
          <w:sz w:val="25"/>
        </w:rPr>
        <w:t>Signatures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2D50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La Société (VJUS — nom commercial Salverys)</w:t>
            </w:r>
          </w:p>
        </w:tc>
        <w:tc>
          <w:tcPr>
            <w:tcW w:type="dxa" w:w="4873"/>
            <w:shd w:val="clear" w:color="auto" w:fill="1F2D50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La Prestataire</w:t>
            </w:r>
          </w:p>
        </w:tc>
      </w:tr>
      <w:tr>
        <w:tc>
          <w:tcPr>
            <w:tcW w:type="dxa" w:w="4873"/>
          </w:tcPr>
          <w:p>
            <w:r/>
            <w:r>
              <w:t>Nom : Valérien Rakotosalama</w:t>
            </w:r>
          </w:p>
        </w:tc>
        <w:tc>
          <w:tcPr>
            <w:tcW w:type="dxa" w:w="4873"/>
          </w:tcPr>
          <w:p>
            <w:r/>
            <w:r>
              <w:t>Nom : Vololoniaina Randrianasinoro</w:t>
            </w:r>
          </w:p>
        </w:tc>
      </w:tr>
      <w:tr>
        <w:tc>
          <w:tcPr>
            <w:tcW w:type="dxa" w:w="4873"/>
          </w:tcPr>
          <w:p>
            <w:r/>
            <w:r>
              <w:t>Qualité : Gérant</w:t>
            </w:r>
          </w:p>
        </w:tc>
        <w:tc>
          <w:tcPr>
            <w:tcW w:type="dxa" w:w="4873"/>
          </w:tcPr>
          <w:p>
            <w:r/>
            <w:r>
              <w:t>Qualité : Consultante indépendante (business development)</w:t>
            </w:r>
          </w:p>
        </w:tc>
      </w:tr>
      <w:tr>
        <w:tc>
          <w:tcPr>
            <w:tcW w:type="dxa" w:w="4873"/>
          </w:tcPr>
          <w:p>
            <w:r/>
            <w:r>
              <w:t>Date : [JJ/MM/AAAA]</w:t>
            </w:r>
          </w:p>
        </w:tc>
        <w:tc>
          <w:tcPr>
            <w:tcW w:type="dxa" w:w="4873"/>
          </w:tcPr>
          <w:p>
            <w:r/>
            <w:r>
              <w:t>Date : [JJ/MM/AAAA]</w:t>
            </w:r>
          </w:p>
        </w:tc>
      </w:tr>
      <w:tr>
        <w:tc>
          <w:tcPr>
            <w:tcW w:type="dxa" w:w="4873"/>
          </w:tcPr>
          <w:p>
            <w:r/>
            <w:r>
              <w:t>Signature :</w:t>
            </w:r>
          </w:p>
        </w:tc>
        <w:tc>
          <w:tcPr>
            <w:tcW w:type="dxa" w:w="4873"/>
          </w:tcPr>
          <w:p>
            <w:r/>
            <w:r>
              <w:t>Signature :</w:t>
            </w:r>
          </w:p>
        </w:tc>
      </w:tr>
    </w:tbl>
    <w:p>
      <w:pPr>
        <w:spacing w:before="80" w:after="160"/>
        <w:ind w:left="283"/>
        <w:pBdr>
          <w:left w:val="single" w:sz="18" w:space="8" w:color="C9A24B"/>
        </w:pBdr>
      </w:pPr>
      <w:r>
        <w:rPr>
          <w:i/>
          <w:color w:val="6B7280"/>
          <w:sz w:val="19"/>
        </w:rPr>
        <w:t>Mention manuscrite recommandée pour chaque Partie : « Lu et approuvé, bon pour accord ».</w:t>
      </w:r>
    </w:p>
    <w:sectPr w:rsidR="00FC693F" w:rsidRPr="0006063C" w:rsidSect="00034616">
      <w:headerReference w:type="default" r:id="rId9"/>
      <w:pgSz w:w="12240" w:h="15840"/>
      <w:pgMar w:top="1474" w:right="1247" w:bottom="1134" w:left="1247" w:header="624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</w:pPr>
    <w:r>
      <w:drawing>
        <wp:inline xmlns:a="http://schemas.openxmlformats.org/drawingml/2006/main" xmlns:pic="http://schemas.openxmlformats.org/drawingml/2006/picture">
          <wp:extent cx="1655999" cy="42211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salvery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55999" cy="422117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