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>Ci-après dénommée « la Société » ou « VJUS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(Madagascar)**, courriel : randrianasinoro@gmail.com,</w:t>
      </w:r>
    </w:p>
    <w:p>
      <w:r>
        <w:t>téléphone : +261 32 07 042 29 / +261 34 28 533 24.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(NIF / STAT / numéro</w:t>
      </w:r>
    </w:p>
    <w:p>
      <w:r>
        <w:t>d'enregistrement à compléter : [__________________________________________]), déclarant exercer en son nom propre et assumer</w:t>
      </w:r>
    </w:p>
    <w:p>
      <w:r>
        <w:t>seule ses obligations sociales et fiscales.</w:t>
      </w:r>
    </w:p>
    <w:p>
      <w:r>
        <w:t>Ci-après dénommée « la Prestataire ».</w:t>
      </w:r>
    </w:p>
    <w:p>
      <w:r>
        <w:t>Ensemble dénommées « les Parties », et individuellement « une Partie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>, à destination de donneurs d'ordre et clients français et canadien, sur trois</w:t>
      </w:r>
    </w:p>
    <w:p>
      <w:r>
        <w:t>niches : (1) télésecrétariat médical, (2) support applicatif N1 pour éditeurs SaaS,</w:t>
      </w:r>
    </w:p>
    <w:p>
      <w:r>
        <w:t xml:space="preserve">(3) et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 xml:space="preserve">1.4. La Société communique à la Prestataire les </w:t>
      </w:r>
      <w:r>
        <w:rPr>
          <w:b/>
        </w:rPr>
        <w:t>objectifs commerciaux</w:t>
      </w:r>
      <w:r>
        <w:t>, les **cibles</w:t>
      </w:r>
    </w:p>
    <w:p>
      <w:r>
        <w:t>prioritaires</w:t>
      </w:r>
      <w:r>
        <w:rPr>
          <w:b/>
        </w:rPr>
        <w:t xml:space="preserve"> et le </w:t>
      </w:r>
      <w:r>
        <w:t>cadre qualité** de la marque (positionnement, niches, messages-clés,</w:t>
      </w:r>
    </w:p>
    <w:p>
      <w:r>
        <w:t>exigences de conformité), ainsi que tout retour utile au bon déroulement de la mission. La</w:t>
      </w:r>
    </w:p>
    <w:p>
      <w:r>
        <w:t xml:space="preserve">Prestataire </w:t>
      </w:r>
      <w:r>
        <w:rPr>
          <w:b/>
        </w:rPr>
        <w:t>conserve la maîtrise de l'organisation de son travail</w:t>
      </w:r>
      <w:r>
        <w:t xml:space="preserve"> et du **choix des</w:t>
      </w:r>
    </w:p>
    <w:p>
      <w:r>
        <w:t>moyens et méthodes** pour atteindre ces objectifs.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 xml:space="preserve"> ;</w:t>
      </w:r>
    </w:p>
    <w:p>
      <w:pPr>
        <w:pStyle w:val="ListNumber"/>
      </w:pPr>
      <w:r>
        <w:rPr>
          <w:b/>
        </w:rPr>
        <w:t>télésecrétariat médical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t>Branding de la marque Salverys et du personal branding de Valérien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r>
        <w:t>Toutefois, l'**absence de tout prospect en cours de négociation avancée ou de contrat</w:t>
      </w:r>
    </w:p>
    <w:p>
      <w:r>
        <w:t>signé</w:t>
      </w:r>
      <w:r>
        <w:rPr>
          <w:b/>
        </w:rPr>
        <w:t xml:space="preserve"> à l'issue de la </w:t>
      </w:r>
      <w:r>
        <w:t>période initiale de trois (3) mois** (art. 6.1) constituera un</w:t>
      </w:r>
    </w:p>
    <w:p>
      <w:r>
        <w:t xml:space="preserve">motif légitime pour la Société de </w:t>
      </w:r>
      <w:r>
        <w:rPr>
          <w:b/>
        </w:rPr>
        <w:t>ne pas reconduire le contrat</w:t>
      </w:r>
      <w:r>
        <w:t>, sans que cette</w:t>
      </w:r>
    </w:p>
    <w:p>
      <w:r>
        <w:t>décision puisse être qualifiée de rupture fautive ni ouvrir droit à indemnité. La Société</w:t>
      </w:r>
    </w:p>
    <w:p>
      <w:r>
        <w:t xml:space="preserve">en informera la Prestataire par écrit au plus tard </w:t>
      </w:r>
      <w:r>
        <w:rPr>
          <w:b/>
        </w:rPr>
        <w:t>quinze (15) jours avant le terme</w:t>
      </w:r>
      <w:r>
        <w:t xml:space="preserve"> de</w:t>
      </w:r>
    </w:p>
    <w:p>
      <w:r>
        <w:t>la période initiale ; en l'absence de notification dans ce délai, le contrat se reconduit</w:t>
      </w:r>
    </w:p>
    <w:p>
      <w:r>
        <w:t>dans les conditions de l'art. 6.2.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suppose la réunion </w:t>
      </w:r>
      <w:r>
        <w:rPr>
          <w:b/>
        </w:rPr>
        <w:t>cumulative</w:t>
      </w:r>
      <w:r>
        <w:t xml:space="preserve"> des conditions suivantes :</w:t>
      </w:r>
    </w:p>
    <w:p>
      <w:pPr>
        <w:pStyle w:val="ListBullet"/>
      </w:pPr>
      <w:r>
        <w:t xml:space="preserve">un </w:t>
      </w:r>
      <w:r>
        <w:rPr>
          <w:b/>
        </w:rPr>
        <w:t>donneur d'ordre (ou client) a signé</w:t>
      </w:r>
      <w:r>
        <w:t xml:space="preserve"> le contrat de prestation ;</w:t>
      </w:r>
    </w:p>
    <w:p>
      <w:pPr>
        <w:pStyle w:val="ListBullet"/>
      </w:pPr>
      <w:r>
        <w:t xml:space="preserve">le </w:t>
      </w:r>
      <w:r>
        <w:rPr>
          <w:b/>
        </w:rPr>
        <w:t>premier mois de prestation</w:t>
      </w:r>
      <w:r>
        <w:t xml:space="preserve"> (mois de lancement, facturé à </w:t>
      </w:r>
      <w:r>
        <w:rPr>
          <w:b/>
        </w:rPr>
        <w:t>−50 %</w:t>
      </w:r>
      <w:r>
        <w:t>) a été</w:t>
      </w:r>
    </w:p>
    <w:p>
      <w:r>
        <w:rPr>
          <w:b/>
        </w:rPr>
        <w:t>encaissé</w:t>
      </w:r>
      <w:r>
        <w:t xml:space="preserve"> par la Société ;</w:t>
      </w:r>
    </w:p>
    <w:p>
      <w:pPr>
        <w:pStyle w:val="ListBullet"/>
      </w:pPr>
      <w:r>
        <w:t xml:space="preserve">le </w:t>
      </w:r>
      <w:r>
        <w:rPr>
          <w:b/>
        </w:rPr>
        <w:t>deuxième mois de prestation</w:t>
      </w:r>
      <w:r>
        <w:t xml:space="preserve"> (</w:t>
      </w:r>
      <w:r>
        <w:rPr>
          <w:b/>
        </w:rPr>
        <w:t>premier mois à plein tarif</w:t>
      </w:r>
      <w:r>
        <w:t>) a **également été</w:t>
      </w:r>
    </w:p>
    <w:p>
      <w:r>
        <w:t>encaissé** par la Société (paiement reçu sur son compte) ;</w:t>
      </w:r>
    </w:p>
    <w:p>
      <w:pPr>
        <w:pStyle w:val="ListBullet"/>
      </w:pPr>
      <w:r>
        <w:rPr>
          <w:b/>
        </w:rPr>
        <w:t>aucune résiliation</w:t>
      </w:r>
      <w:r>
        <w:t xml:space="preserve"> n'est intervenue avant cet encaissement.</w:t>
      </w:r>
    </w:p>
    <w:p>
      <w:r>
        <w:t xml:space="preserve">La </w:t>
      </w:r>
      <w:r>
        <w:rPr>
          <w:b/>
        </w:rPr>
        <w:t>seule signature ne suffit pas</w:t>
      </w:r>
      <w:r>
        <w:t>, ni même l'encaissement du seul mois de lancement à</w:t>
      </w:r>
    </w:p>
    <w:p>
      <w:r>
        <w:t>−50 % : la commission n'est due qu'une fois **confirmé que le client poursuit au-delà du</w:t>
      </w:r>
    </w:p>
    <w:p>
      <w:r>
        <w:t>pilote</w:t>
      </w:r>
      <w:r>
        <w:rPr>
          <w:b/>
        </w:rPr>
        <w:t xml:space="preserve">, c'est-à-dire </w:t>
      </w:r>
      <w:r>
        <w:t>après encaissement du premier mois à plein tarif (deuxième mois de</w:t>
      </w:r>
    </w:p>
    <w:p>
      <w:r>
        <w:t>prestation)**.</w:t>
      </w:r>
    </w:p>
    <w:p>
      <w:r>
        <w:rPr>
          <w:b/>
        </w:rPr>
        <w:t>Exemple.</w:t>
      </w:r>
      <w:r>
        <w:t xml:space="preserve"> Signature le 10 mai → début de prestation le 1er juin → encaissement du 1er</w:t>
      </w:r>
    </w:p>
    <w:p>
      <w:r>
        <w:t>mois (−50 %) fin juin → encaissement du 2e mois (plein tarif) fin juillet → **commission</w:t>
      </w:r>
    </w:p>
    <w:p>
      <w:r>
        <w:t>due et payable en juillet** (à 15 jours fin de mois, art. 5.2). La prime n'est donc versée</w:t>
      </w:r>
    </w:p>
    <w:p>
      <w:r>
        <w:rPr>
          <w:b/>
        </w:rPr>
        <w:t>ni au mois de signature, ni au seul mois de lancement</w:t>
      </w:r>
      <w:r>
        <w:t>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**mois civil au cours duquel le deuxième mois</w:t>
      </w:r>
    </w:p>
    <w:p>
      <w:r>
        <w:t>de prestation (premier mois à plein tarif) est encaissé** (toutes les conditions de</w:t>
      </w:r>
    </w:p>
    <w:p>
      <w:r>
        <w:t xml:space="preserve">l'art. 3.1 étant réunies) ; elle ne peut être facturée </w:t>
      </w:r>
      <w:r>
        <w:rPr>
          <w:b/>
        </w:rPr>
        <w:t>ni</w:t>
      </w:r>
      <w:r>
        <w:t xml:space="preserve"> au titre du mois de</w:t>
      </w:r>
    </w:p>
    <w:p>
      <w:r>
        <w:t xml:space="preserve">signature, </w:t>
      </w:r>
      <w:r>
        <w:rPr>
          <w:b/>
        </w:rPr>
        <w:t>ni</w:t>
      </w:r>
      <w:r>
        <w:t xml:space="preserve"> au seul titre de l'encaissement du mois de lancement à −50 %.</w:t>
      </w:r>
    </w:p>
    <w:p>
      <w:r>
        <w:t xml:space="preserve">4.4. </w:t>
      </w:r>
      <w:r>
        <w:rPr>
          <w:b/>
        </w:rPr>
        <w:t>Devise et conversion.</w:t>
      </w:r>
      <w:r>
        <w:t xml:space="preserve"> Tous les montants — honoraires fixes et commission de</w:t>
      </w:r>
    </w:p>
    <w:p>
      <w:r>
        <w:t xml:space="preserve">performance — sont </w:t>
      </w:r>
      <w:r>
        <w:rPr>
          <w:b/>
        </w:rPr>
        <w:t>payés exclusivement en ariary (Ar)</w:t>
      </w:r>
      <w:r>
        <w:t>. La commission est exprimée en</w:t>
      </w:r>
    </w:p>
    <w:p>
      <w:r>
        <w:t>euros à titre indicatif uniquement ; elle est **convertie en ariary au taux de change</w:t>
      </w:r>
    </w:p>
    <w:p>
      <w:r>
        <w:t>officiel EUR/MGA publié par la Banque Centrale de Madagascar (BCM) à la date d'émission</w:t>
      </w:r>
    </w:p>
    <w:p>
      <w:r>
        <w:t>de la facture** correspondante. Aucun paiement n'est effectué en euros.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le moyen de paiement retenu (virement bancaire, mobile money</w:t>
      </w:r>
    </w:p>
    <w:p>
      <w:r>
        <w:t>ou autre) ainsi que les coordonnées nécessaires au règlement sont **indiqués par la</w:t>
      </w:r>
    </w:p>
    <w:p>
      <w:r>
        <w:t>Prestataire sur chaque facture**. La Société effectue le paiement selon ces instructions.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**reconduit</w:t>
      </w:r>
    </w:p>
    <w:p>
      <w:r>
        <w:t>tacitement** pour des périodes successives d'un (1) mois, tant qu'aucune Partie ne l'a</w:t>
      </w:r>
    </w:p>
    <w:p>
      <w:r>
        <w:t>résilié dans les conditions de l'art. 6.3.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sept (7) jours</w:t>
      </w:r>
      <w:r>
        <w:t xml:space="preserve"> après mise en demeure écrite restée sans effet, l'autre Partie</w:t>
      </w:r>
    </w:p>
    <w:p>
      <w:r>
        <w:t>peut 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du marché français**.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 marché</w:t>
      </w:r>
    </w:p>
    <w:p>
      <w:r>
        <w:t xml:space="preserve">français, sont </w:t>
      </w:r>
      <w:r>
        <w:rPr>
          <w:b/>
        </w:rPr>
        <w:t>proportionnées</w:t>
      </w:r>
      <w:r>
        <w:t xml:space="preserve"> à la protection des intérêts légitimes de la Société et</w:t>
      </w:r>
    </w:p>
    <w:p>
      <w:r>
        <w:rPr>
          <w:b/>
        </w:rPr>
        <w:t>ne privent pas</w:t>
      </w:r>
      <w:r>
        <w:t xml:space="preserve"> la Prestataire d'exercer son activité auprès d'autres 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2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alvery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2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